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5333C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707">
        <w:t>116</w:t>
      </w:r>
      <w:r w:rsidRPr="00CE0424">
        <w:tab/>
      </w:r>
      <w:r w:rsidR="00E35DF5" w:rsidRPr="00E35DF5">
        <w:rPr>
          <w:sz w:val="32"/>
          <w:szCs w:val="32"/>
        </w:rPr>
        <w:t>R1-2401217</w:t>
      </w:r>
    </w:p>
    <w:p w14:paraId="0CE7B7E6" w14:textId="291FC32C" w:rsidR="00E90E49" w:rsidRPr="00CE0424" w:rsidRDefault="002E6707" w:rsidP="00311702">
      <w:pPr>
        <w:pStyle w:val="3GPPHeader"/>
      </w:pPr>
      <w:r w:rsidRPr="002E6707">
        <w:t>Athens, Greece</w:t>
      </w:r>
      <w:r w:rsidR="0027144F" w:rsidRPr="002E6707">
        <w:t xml:space="preserve">, </w:t>
      </w:r>
      <w:r w:rsidRPr="002E6707">
        <w:t>February</w:t>
      </w:r>
      <w:r w:rsidR="0027144F" w:rsidRPr="002E6707">
        <w:t xml:space="preserve"> </w:t>
      </w:r>
      <w:r w:rsidRPr="002E6707">
        <w:t>26</w:t>
      </w:r>
      <w:r w:rsidR="001D53E7" w:rsidRPr="002E6707">
        <w:rPr>
          <w:vertAlign w:val="superscript"/>
        </w:rPr>
        <w:t>th</w:t>
      </w:r>
      <w:r w:rsidR="001D53E7" w:rsidRPr="002E6707">
        <w:t xml:space="preserve"> – </w:t>
      </w:r>
      <w:r w:rsidRPr="002E6707">
        <w:t>March 1</w:t>
      </w:r>
      <w:r w:rsidRPr="002E6707">
        <w:rPr>
          <w:vertAlign w:val="superscript"/>
        </w:rPr>
        <w:t>st</w:t>
      </w:r>
      <w:r w:rsidRPr="002E6707">
        <w:t>, 2024</w:t>
      </w:r>
    </w:p>
    <w:p w14:paraId="3086AC07" w14:textId="77777777" w:rsidR="00E90E49" w:rsidRPr="00CE0424" w:rsidRDefault="00E90E49" w:rsidP="00357380">
      <w:pPr>
        <w:pStyle w:val="3GPPHeader"/>
      </w:pPr>
    </w:p>
    <w:p w14:paraId="3982483C" w14:textId="33E398F5" w:rsidR="00E90E49" w:rsidRPr="00281F30" w:rsidRDefault="00E90E49" w:rsidP="00311702">
      <w:pPr>
        <w:pStyle w:val="3GPPHeader"/>
        <w:rPr>
          <w:sz w:val="22"/>
        </w:rPr>
      </w:pPr>
      <w:r w:rsidRPr="00281F30">
        <w:rPr>
          <w:sz w:val="22"/>
        </w:rPr>
        <w:t>Agenda Item:</w:t>
      </w:r>
      <w:r w:rsidRPr="00281F30">
        <w:rPr>
          <w:sz w:val="22"/>
        </w:rPr>
        <w:tab/>
      </w:r>
      <w:r w:rsidR="0027333A" w:rsidRPr="00281F30">
        <w:rPr>
          <w:sz w:val="22"/>
        </w:rPr>
        <w:t>9</w:t>
      </w:r>
      <w:r w:rsidR="00311702" w:rsidRPr="00281F30">
        <w:rPr>
          <w:sz w:val="22"/>
        </w:rPr>
        <w:t>.</w:t>
      </w:r>
      <w:r w:rsidR="0027333A" w:rsidRPr="00281F30">
        <w:rPr>
          <w:sz w:val="22"/>
        </w:rPr>
        <w:t>3</w:t>
      </w:r>
      <w:r w:rsidR="00311702" w:rsidRPr="00281F30">
        <w:rPr>
          <w:sz w:val="22"/>
        </w:rPr>
        <w:t>.</w:t>
      </w:r>
      <w:r w:rsidR="0027333A" w:rsidRPr="00281F30">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B17B4CF" w:rsidR="00E90E49" w:rsidRPr="00CE0424" w:rsidRDefault="003D3C45" w:rsidP="00311702">
      <w:pPr>
        <w:pStyle w:val="3GPPHeader"/>
        <w:rPr>
          <w:sz w:val="22"/>
        </w:rPr>
      </w:pPr>
      <w:r>
        <w:rPr>
          <w:sz w:val="22"/>
        </w:rPr>
        <w:t>Title:</w:t>
      </w:r>
      <w:r w:rsidR="00E90E49" w:rsidRPr="00CE0424">
        <w:rPr>
          <w:sz w:val="22"/>
        </w:rPr>
        <w:tab/>
      </w:r>
      <w:r w:rsidR="0027333A" w:rsidRPr="00281F30">
        <w:rPr>
          <w:sz w:val="22"/>
        </w:rPr>
        <w:t>SBFD TX/RX/measurement procedures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4634D8">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529C569" w14:textId="6E826B50" w:rsidR="00312A36" w:rsidRDefault="00312A36" w:rsidP="004634D8">
      <w:pPr>
        <w:jc w:val="both"/>
        <w:rPr>
          <w:lang w:eastAsia="ja-JP"/>
        </w:rPr>
      </w:pPr>
      <w:r w:rsidRPr="003A50DE">
        <w:rPr>
          <w:lang w:eastAsia="ja-JP"/>
        </w:rPr>
        <w:t xml:space="preserve">TDD is a prevalent method in commercial NR deployments where time domain resources are allocated between downlink and uplink. However, conventional TDD can lead to reduced coverage, </w:t>
      </w:r>
      <w:r>
        <w:rPr>
          <w:lang w:eastAsia="ja-JP"/>
        </w:rPr>
        <w:t xml:space="preserve">and </w:t>
      </w:r>
      <w:r w:rsidRPr="003A50DE">
        <w:rPr>
          <w:lang w:eastAsia="ja-JP"/>
        </w:rPr>
        <w:t>increased latency, due to the limited time duration</w:t>
      </w:r>
      <w:r>
        <w:rPr>
          <w:lang w:eastAsia="ja-JP"/>
        </w:rPr>
        <w:t xml:space="preserve"> and opportunities</w:t>
      </w:r>
      <w:r w:rsidRPr="003A50DE">
        <w:rPr>
          <w:lang w:eastAsia="ja-JP"/>
        </w:rPr>
        <w:t xml:space="preserve"> for uplink. To enhance this, Rel-18 studied the possibility of simultaneous downlink and uplink, particularly subband non-overlapping full duplex </w:t>
      </w:r>
      <w:r>
        <w:rPr>
          <w:lang w:eastAsia="ja-JP"/>
        </w:rPr>
        <w:t>(SBFD)</w:t>
      </w:r>
      <w:r w:rsidRPr="003A50DE">
        <w:rPr>
          <w:lang w:eastAsia="ja-JP"/>
        </w:rPr>
        <w:t xml:space="preserve"> at the gNB side. </w:t>
      </w:r>
      <w:r w:rsidR="00F0567B" w:rsidRPr="003A50DE">
        <w:rPr>
          <w:lang w:eastAsia="ja-JP"/>
        </w:rPr>
        <w:t>The findings on the evolution of NR duplex operation, including its feasibility and performance benefits, were documented in TR 38.858</w:t>
      </w:r>
      <w:r w:rsidR="00A43C3F">
        <w:rPr>
          <w:lang w:eastAsia="ja-JP"/>
        </w:rPr>
        <w:t xml:space="preserve"> </w:t>
      </w:r>
      <w:r w:rsidR="00D9663D">
        <w:rPr>
          <w:lang w:eastAsia="ja-JP"/>
        </w:rPr>
        <w:fldChar w:fldCharType="begin"/>
      </w:r>
      <w:r w:rsidR="00D9663D">
        <w:rPr>
          <w:lang w:eastAsia="ja-JP"/>
        </w:rPr>
        <w:instrText xml:space="preserve"> REF _Ref158324309 \r \h </w:instrText>
      </w:r>
      <w:r w:rsidR="00D9663D">
        <w:rPr>
          <w:lang w:eastAsia="ja-JP"/>
        </w:rPr>
      </w:r>
      <w:r w:rsidR="00D9663D">
        <w:rPr>
          <w:lang w:eastAsia="ja-JP"/>
        </w:rPr>
        <w:fldChar w:fldCharType="separate"/>
      </w:r>
      <w:r w:rsidR="00D32653">
        <w:rPr>
          <w:lang w:eastAsia="ja-JP"/>
        </w:rPr>
        <w:t>[1]</w:t>
      </w:r>
      <w:r w:rsidR="00D9663D">
        <w:rPr>
          <w:lang w:eastAsia="ja-JP"/>
        </w:rPr>
        <w:fldChar w:fldCharType="end"/>
      </w:r>
      <w:r w:rsidR="00F0567B" w:rsidRPr="003A50DE">
        <w:rPr>
          <w:lang w:eastAsia="ja-JP"/>
        </w:rPr>
        <w:t>.</w:t>
      </w:r>
    </w:p>
    <w:p w14:paraId="231E64EA" w14:textId="6794FA8E" w:rsidR="00477768" w:rsidRPr="00CE0424" w:rsidRDefault="00312A36" w:rsidP="00B67EFF">
      <w:pPr>
        <w:jc w:val="both"/>
      </w:pPr>
      <w:r>
        <w:rPr>
          <w:lang w:eastAsia="ja-JP"/>
        </w:rPr>
        <w:t>In addition, a</w:t>
      </w:r>
      <w:r w:rsidRPr="003A50DE">
        <w:rPr>
          <w:lang w:eastAsia="ja-JP"/>
        </w:rPr>
        <w:t>lthough NR</w:t>
      </w:r>
      <w:r>
        <w:rPr>
          <w:lang w:eastAsia="ja-JP"/>
        </w:rPr>
        <w:t xml:space="preserve"> </w:t>
      </w:r>
      <w:r w:rsidRPr="003A50DE">
        <w:rPr>
          <w:lang w:eastAsia="ja-JP"/>
        </w:rPr>
        <w:t>specifications introduced dynamic allocation of downlink and uplink</w:t>
      </w:r>
      <w:r>
        <w:rPr>
          <w:lang w:eastAsia="ja-JP"/>
        </w:rPr>
        <w:t xml:space="preserve"> (dynamic TDD),</w:t>
      </w:r>
      <w:r w:rsidRPr="003A50DE">
        <w:rPr>
          <w:lang w:eastAsia="ja-JP"/>
        </w:rPr>
        <w:t xml:space="preserve"> along with CLI handling and RIM in Rel-16, Rel-18 further delved into inter-gNB CLI handling, especially between gNBs from the same</w:t>
      </w:r>
      <w:r>
        <w:rPr>
          <w:lang w:eastAsia="ja-JP"/>
        </w:rPr>
        <w:t xml:space="preserve"> </w:t>
      </w:r>
      <w:r w:rsidRPr="003A50DE">
        <w:rPr>
          <w:lang w:eastAsia="ja-JP"/>
        </w:rPr>
        <w:t>operators</w:t>
      </w:r>
      <w:r>
        <w:rPr>
          <w:lang w:eastAsia="ja-JP"/>
        </w:rPr>
        <w:t xml:space="preserve"> (co-channel)</w:t>
      </w:r>
      <w:r w:rsidRPr="003A50DE">
        <w:rPr>
          <w:lang w:eastAsia="ja-JP"/>
        </w:rPr>
        <w:t xml:space="preserve">. </w:t>
      </w:r>
    </w:p>
    <w:p w14:paraId="60123794" w14:textId="7C10391C" w:rsidR="004000E8" w:rsidRDefault="004636E6" w:rsidP="004636E6">
      <w:pPr>
        <w:pStyle w:val="Heading1"/>
      </w:pPr>
      <w:bookmarkStart w:id="0" w:name="_Ref156298019"/>
      <w:r w:rsidRPr="004636E6">
        <w:t>2</w:t>
      </w:r>
      <w:r>
        <w:tab/>
      </w:r>
      <w:r w:rsidR="00266A84" w:rsidRPr="004636E6">
        <w:t>SBFD</w:t>
      </w:r>
      <w:r w:rsidR="00266A84">
        <w:t xml:space="preserve"> operation</w:t>
      </w:r>
      <w:bookmarkEnd w:id="0"/>
    </w:p>
    <w:p w14:paraId="2803A0AC" w14:textId="34E93496" w:rsidR="00356BA7" w:rsidRDefault="00E31719" w:rsidP="00B67EFF">
      <w:pPr>
        <w:rPr>
          <w:lang w:val="en-GB" w:eastAsia="ja-JP"/>
        </w:rPr>
      </w:pPr>
      <w:r>
        <w:rPr>
          <w:lang w:val="en-GB" w:eastAsia="ja-JP"/>
        </w:rPr>
        <w:t xml:space="preserve">In this section, we will </w:t>
      </w:r>
      <w:r w:rsidR="00124D22">
        <w:rPr>
          <w:lang w:val="en-GB" w:eastAsia="ja-JP"/>
        </w:rPr>
        <w:t>discuss</w:t>
      </w:r>
      <w:r>
        <w:rPr>
          <w:lang w:val="en-GB" w:eastAsia="ja-JP"/>
        </w:rPr>
        <w:t xml:space="preserve"> basic configurations and procedures for SBFD operation, including semi-static indication of time- and frequency locations of SBFD subbands and transmission/reception/measurement behaviours.</w:t>
      </w:r>
    </w:p>
    <w:p w14:paraId="48366B37" w14:textId="0B96A906" w:rsidR="00356BA7" w:rsidRDefault="00356BA7" w:rsidP="00D41682">
      <w:pPr>
        <w:spacing w:after="120"/>
        <w:jc w:val="both"/>
        <w:rPr>
          <w:lang w:val="en-GB" w:eastAsia="ja-JP"/>
        </w:rPr>
      </w:pPr>
      <w:r>
        <w:rPr>
          <w:lang w:val="en-GB" w:eastAsia="ja-JP"/>
        </w:rPr>
        <w:t>Two of the WID objectives are to specify semi-static indication of time- and frequency location of the SBFD subbands to UEs (in RRC_CONNECTED mode)</w:t>
      </w:r>
      <w:r w:rsidR="00AC4657">
        <w:rPr>
          <w:lang w:val="en-GB" w:eastAsia="ja-JP"/>
        </w:rPr>
        <w:t xml:space="preserve"> </w:t>
      </w:r>
      <w:r w:rsidR="00AC4657">
        <w:rPr>
          <w:lang w:val="en-GB" w:eastAsia="ja-JP"/>
        </w:rPr>
        <w:fldChar w:fldCharType="begin"/>
      </w:r>
      <w:r w:rsidR="00AC4657">
        <w:rPr>
          <w:lang w:val="en-GB" w:eastAsia="ja-JP"/>
        </w:rPr>
        <w:instrText xml:space="preserve"> REF _Ref158324440 \r \h </w:instrText>
      </w:r>
      <w:r w:rsidR="00AC4657">
        <w:rPr>
          <w:lang w:val="en-GB" w:eastAsia="ja-JP"/>
        </w:rPr>
      </w:r>
      <w:r w:rsidR="00AC4657">
        <w:rPr>
          <w:lang w:val="en-GB" w:eastAsia="ja-JP"/>
        </w:rPr>
        <w:fldChar w:fldCharType="separate"/>
      </w:r>
      <w:r w:rsidR="00D32653">
        <w:rPr>
          <w:lang w:val="en-GB" w:eastAsia="ja-JP"/>
        </w:rPr>
        <w:t>[2]</w:t>
      </w:r>
      <w:r w:rsidR="00AC4657">
        <w:rPr>
          <w:lang w:val="en-GB" w:eastAsia="ja-JP"/>
        </w:rPr>
        <w:fldChar w:fldCharType="end"/>
      </w:r>
      <w:r w:rsidR="00892986">
        <w:rPr>
          <w:lang w:val="en-GB" w:eastAsia="ja-JP"/>
        </w:rPr>
        <w:t>:</w:t>
      </w:r>
    </w:p>
    <w:tbl>
      <w:tblPr>
        <w:tblStyle w:val="TableGrid"/>
        <w:tblW w:w="0" w:type="auto"/>
        <w:tblLook w:val="04A0" w:firstRow="1" w:lastRow="0" w:firstColumn="1" w:lastColumn="0" w:noHBand="0" w:noVBand="1"/>
      </w:tblPr>
      <w:tblGrid>
        <w:gridCol w:w="9629"/>
      </w:tblGrid>
      <w:tr w:rsidR="00255742" w14:paraId="60C1272D" w14:textId="77777777" w:rsidTr="00356BA7">
        <w:tc>
          <w:tcPr>
            <w:tcW w:w="9629" w:type="dxa"/>
          </w:tcPr>
          <w:p w14:paraId="1413425D" w14:textId="77777777" w:rsidR="00356BA7" w:rsidRPr="00281F30" w:rsidRDefault="00356BA7" w:rsidP="00281F30">
            <w:pPr>
              <w:numPr>
                <w:ilvl w:val="0"/>
                <w:numId w:val="34"/>
              </w:numPr>
              <w:tabs>
                <w:tab w:val="left" w:pos="1080"/>
              </w:tabs>
              <w:spacing w:line="256" w:lineRule="auto"/>
              <w:ind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Specify semi-static indication of time location of SBFD subbands to UEs in RRC_CONNECTED mode [RAN1, RAN2]</w:t>
            </w:r>
          </w:p>
          <w:p w14:paraId="41E5A26E" w14:textId="77777777" w:rsidR="00356BA7" w:rsidRPr="00281F30" w:rsidRDefault="00356BA7" w:rsidP="00281F30">
            <w:pPr>
              <w:numPr>
                <w:ilvl w:val="1"/>
                <w:numId w:val="34"/>
              </w:numPr>
              <w:tabs>
                <w:tab w:val="left" w:pos="1800"/>
              </w:tabs>
              <w:spacing w:line="256" w:lineRule="auto"/>
              <w:ind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 xml:space="preserve">Indication of time location of SBFD subbands in SIB is not </w:t>
            </w:r>
            <w:proofErr w:type="gramStart"/>
            <w:r w:rsidRPr="00281F30">
              <w:rPr>
                <w:rFonts w:ascii="Times New Roman" w:eastAsia="Malgun Gothic" w:hAnsi="Times New Roman" w:cs="Times New Roman"/>
                <w:lang w:eastAsia="ko-KR"/>
              </w:rPr>
              <w:t>precluded</w:t>
            </w:r>
            <w:proofErr w:type="gramEnd"/>
          </w:p>
          <w:p w14:paraId="21953C17" w14:textId="77777777" w:rsidR="00356BA7" w:rsidRPr="00281F30" w:rsidRDefault="00356BA7" w:rsidP="00281F30">
            <w:pPr>
              <w:numPr>
                <w:ilvl w:val="0"/>
                <w:numId w:val="34"/>
              </w:numPr>
              <w:tabs>
                <w:tab w:val="left" w:pos="1080"/>
              </w:tabs>
              <w:spacing w:line="256" w:lineRule="auto"/>
              <w:ind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Specify semi-static indication of frequency domain location of SBFD subbands to UEs in RRC_CONNECTED mode [RAN1, RAN2]</w:t>
            </w:r>
          </w:p>
          <w:p w14:paraId="4A4BAD31" w14:textId="74DE9498" w:rsidR="00356BA7" w:rsidRPr="00281F30" w:rsidRDefault="00356BA7" w:rsidP="00281F30">
            <w:pPr>
              <w:numPr>
                <w:ilvl w:val="1"/>
                <w:numId w:val="34"/>
              </w:numPr>
              <w:tabs>
                <w:tab w:val="left" w:pos="1800"/>
              </w:tabs>
              <w:spacing w:line="256" w:lineRule="auto"/>
              <w:ind w:right="-99"/>
              <w:rPr>
                <w:rFonts w:eastAsia="Malgun Gothic"/>
                <w:lang w:eastAsia="ko-KR"/>
              </w:rPr>
            </w:pPr>
            <w:r w:rsidRPr="00281F30">
              <w:rPr>
                <w:rFonts w:ascii="Times New Roman" w:eastAsia="Malgun Gothic" w:hAnsi="Times New Roman" w:cs="Times New Roman"/>
                <w:lang w:eastAsia="ko-KR"/>
              </w:rPr>
              <w:t>Indication of frequency domain location of SBFD subbands in SIB is not precluded</w:t>
            </w:r>
          </w:p>
        </w:tc>
      </w:tr>
    </w:tbl>
    <w:p w14:paraId="3EC2DF8D" w14:textId="686D67DD" w:rsidR="00356BA7" w:rsidRDefault="00356BA7" w:rsidP="00D41682">
      <w:pPr>
        <w:spacing w:after="120"/>
        <w:jc w:val="both"/>
        <w:rPr>
          <w:lang w:val="en-GB" w:eastAsia="ja-JP"/>
        </w:rPr>
      </w:pPr>
    </w:p>
    <w:p w14:paraId="28C2A9C2" w14:textId="42D5828F" w:rsidR="00356BA7" w:rsidRDefault="00356BA7" w:rsidP="00D41682">
      <w:pPr>
        <w:spacing w:after="120"/>
        <w:jc w:val="both"/>
        <w:rPr>
          <w:lang w:val="en-GB" w:eastAsia="ja-JP"/>
        </w:rPr>
      </w:pPr>
      <w:r>
        <w:rPr>
          <w:lang w:val="en-GB" w:eastAsia="ja-JP"/>
        </w:rPr>
        <w:t>In current specifications</w:t>
      </w:r>
      <w:r w:rsidR="00BD2349">
        <w:rPr>
          <w:lang w:val="en-GB" w:eastAsia="ja-JP"/>
        </w:rPr>
        <w:t>,</w:t>
      </w:r>
      <w:r>
        <w:rPr>
          <w:lang w:val="en-GB" w:eastAsia="ja-JP"/>
        </w:rPr>
        <w:t xml:space="preserve"> the semi-static time-domain DL/UL configuration can be indicated to a UE using </w:t>
      </w:r>
      <w:r w:rsidRPr="00281F30">
        <w:rPr>
          <w:i/>
          <w:lang w:val="en-GB" w:eastAsia="ja-JP"/>
        </w:rPr>
        <w:t>TDD-DL-UL-</w:t>
      </w:r>
      <w:proofErr w:type="spellStart"/>
      <w:r w:rsidRPr="00281F30">
        <w:rPr>
          <w:i/>
          <w:lang w:val="en-GB" w:eastAsia="ja-JP"/>
        </w:rPr>
        <w:t>ConfigCommon</w:t>
      </w:r>
      <w:proofErr w:type="spellEnd"/>
      <w:r>
        <w:rPr>
          <w:lang w:val="en-GB" w:eastAsia="ja-JP"/>
        </w:rPr>
        <w:t xml:space="preserve"> (cell specific) and </w:t>
      </w:r>
      <w:r w:rsidRPr="00281F30">
        <w:rPr>
          <w:i/>
          <w:lang w:val="en-GB" w:eastAsia="ja-JP"/>
        </w:rPr>
        <w:t>TDD-DL</w:t>
      </w:r>
      <w:r w:rsidR="00892986" w:rsidRPr="00281F30">
        <w:rPr>
          <w:i/>
          <w:lang w:val="en-GB" w:eastAsia="ja-JP"/>
        </w:rPr>
        <w:t>-</w:t>
      </w:r>
      <w:r w:rsidRPr="00281F30">
        <w:rPr>
          <w:i/>
          <w:lang w:val="en-GB" w:eastAsia="ja-JP"/>
        </w:rPr>
        <w:t>UL-</w:t>
      </w:r>
      <w:proofErr w:type="spellStart"/>
      <w:r w:rsidRPr="00281F30">
        <w:rPr>
          <w:i/>
          <w:lang w:val="en-GB" w:eastAsia="ja-JP"/>
        </w:rPr>
        <w:t>ConfigDedicated</w:t>
      </w:r>
      <w:proofErr w:type="spellEnd"/>
      <w:r>
        <w:rPr>
          <w:lang w:val="en-GB" w:eastAsia="ja-JP"/>
        </w:rPr>
        <w:t xml:space="preserve"> (UE specific)</w:t>
      </w:r>
      <w:r w:rsidR="000D3513">
        <w:rPr>
          <w:lang w:val="en-GB" w:eastAsia="ja-JP"/>
        </w:rPr>
        <w:t>,</w:t>
      </w:r>
      <w:r w:rsidR="00892986">
        <w:rPr>
          <w:lang w:val="en-GB" w:eastAsia="ja-JP"/>
        </w:rPr>
        <w:t xml:space="preserve"> </w:t>
      </w:r>
      <w:r w:rsidR="000D3513">
        <w:rPr>
          <w:lang w:val="en-GB" w:eastAsia="ja-JP"/>
        </w:rPr>
        <w:t>w</w:t>
      </w:r>
      <w:r w:rsidR="00892986">
        <w:rPr>
          <w:lang w:val="en-GB" w:eastAsia="ja-JP"/>
        </w:rPr>
        <w:t xml:space="preserve">here the latter allows symbols configured as F </w:t>
      </w:r>
      <w:r w:rsidR="00CB4D00">
        <w:rPr>
          <w:lang w:val="en-GB" w:eastAsia="ja-JP"/>
        </w:rPr>
        <w:t>in the former</w:t>
      </w:r>
      <w:r w:rsidR="00063211">
        <w:rPr>
          <w:lang w:val="en-GB" w:eastAsia="ja-JP"/>
        </w:rPr>
        <w:t xml:space="preserve"> </w:t>
      </w:r>
      <w:r w:rsidR="00892986">
        <w:rPr>
          <w:lang w:val="en-GB" w:eastAsia="ja-JP"/>
        </w:rPr>
        <w:t>to be overridden</w:t>
      </w:r>
      <w:r w:rsidR="005528EA">
        <w:rPr>
          <w:lang w:val="en-GB" w:eastAsia="ja-JP"/>
        </w:rPr>
        <w:t xml:space="preserve"> as DL or UL</w:t>
      </w:r>
      <w:r w:rsidR="00892986">
        <w:rPr>
          <w:lang w:val="en-GB" w:eastAsia="ja-JP"/>
        </w:rPr>
        <w:t>. Further</w:t>
      </w:r>
      <w:r w:rsidR="00BD2349">
        <w:rPr>
          <w:lang w:val="en-GB" w:eastAsia="ja-JP"/>
        </w:rPr>
        <w:t>,</w:t>
      </w:r>
      <w:r w:rsidR="00892986">
        <w:rPr>
          <w:lang w:val="en-GB" w:eastAsia="ja-JP"/>
        </w:rPr>
        <w:t xml:space="preserve"> the WID states that SBFD subbands can be configured in both symbols signalled as D</w:t>
      </w:r>
      <w:r w:rsidR="00F3774F">
        <w:rPr>
          <w:lang w:val="en-GB" w:eastAsia="ja-JP"/>
        </w:rPr>
        <w:t>L</w:t>
      </w:r>
      <w:r w:rsidR="00892986">
        <w:rPr>
          <w:lang w:val="en-GB" w:eastAsia="ja-JP"/>
        </w:rPr>
        <w:t xml:space="preserve"> and/or </w:t>
      </w:r>
      <w:r w:rsidR="00F3774F">
        <w:rPr>
          <w:lang w:val="en-GB" w:eastAsia="ja-JP"/>
        </w:rPr>
        <w:t>flexible</w:t>
      </w:r>
      <w:r w:rsidR="00CB4D00">
        <w:rPr>
          <w:lang w:val="en-GB" w:eastAsia="ja-JP"/>
        </w:rPr>
        <w:t>:</w:t>
      </w:r>
    </w:p>
    <w:tbl>
      <w:tblPr>
        <w:tblStyle w:val="TableGrid"/>
        <w:tblW w:w="0" w:type="auto"/>
        <w:tblLook w:val="04A0" w:firstRow="1" w:lastRow="0" w:firstColumn="1" w:lastColumn="0" w:noHBand="0" w:noVBand="1"/>
      </w:tblPr>
      <w:tblGrid>
        <w:gridCol w:w="9629"/>
      </w:tblGrid>
      <w:tr w:rsidR="00255742" w14:paraId="53C000A9" w14:textId="77777777" w:rsidTr="00892986">
        <w:tc>
          <w:tcPr>
            <w:tcW w:w="0" w:type="auto"/>
          </w:tcPr>
          <w:p w14:paraId="155B015D" w14:textId="68198B92" w:rsidR="00892986" w:rsidRPr="00281F30" w:rsidRDefault="00892986" w:rsidP="00281F30">
            <w:pPr>
              <w:numPr>
                <w:ilvl w:val="0"/>
                <w:numId w:val="34"/>
              </w:numPr>
              <w:tabs>
                <w:tab w:val="left" w:pos="1080"/>
                <w:tab w:val="left" w:pos="2160"/>
              </w:tabs>
              <w:spacing w:line="256" w:lineRule="auto"/>
              <w:ind w:right="-99"/>
              <w:rPr>
                <w:rFonts w:ascii="Times New Roman" w:hAnsi="Times New Roman" w:cs="Times New Roman"/>
                <w:lang w:eastAsia="ja-JP"/>
              </w:rPr>
            </w:pPr>
            <w:r w:rsidRPr="00281F30">
              <w:rPr>
                <w:rFonts w:ascii="Times New Roman" w:eastAsia="Malgun Gothic" w:hAnsi="Times New Roman" w:cs="Times New Roman"/>
                <w:lang w:eastAsia="ko-KR"/>
              </w:rPr>
              <w:lastRenderedPageBreak/>
              <w:t xml:space="preserve">Transmission and reception </w:t>
            </w:r>
            <w:proofErr w:type="spellStart"/>
            <w:r w:rsidRPr="00281F30">
              <w:rPr>
                <w:rFonts w:ascii="Times New Roman" w:eastAsia="Malgun Gothic" w:hAnsi="Times New Roman" w:cs="Times New Roman"/>
                <w:lang w:eastAsia="ko-KR"/>
              </w:rPr>
              <w:t>behaviours</w:t>
            </w:r>
            <w:proofErr w:type="spellEnd"/>
            <w:r w:rsidRPr="00281F30">
              <w:rPr>
                <w:rFonts w:ascii="Times New Roman" w:eastAsia="Malgun Gothic" w:hAnsi="Times New Roman" w:cs="Times New Roman"/>
                <w:lang w:eastAsia="ko-KR"/>
              </w:rPr>
              <w:t xml:space="preserve"> on SBFD </w:t>
            </w:r>
            <w:proofErr w:type="spellStart"/>
            <w:r w:rsidRPr="00281F30">
              <w:rPr>
                <w:rFonts w:ascii="Times New Roman" w:eastAsia="Malgun Gothic" w:hAnsi="Times New Roman" w:cs="Times New Roman"/>
                <w:lang w:eastAsia="ko-KR"/>
              </w:rPr>
              <w:t>subbands</w:t>
            </w:r>
            <w:proofErr w:type="spellEnd"/>
            <w:r w:rsidRPr="00281F30">
              <w:rPr>
                <w:rFonts w:ascii="Times New Roman" w:eastAsia="Malgun Gothic" w:hAnsi="Times New Roman" w:cs="Times New Roman"/>
                <w:lang w:eastAsia="ko-KR"/>
              </w:rPr>
              <w:t xml:space="preserve"> configured in DL and/or flexible symbol indicated by </w:t>
            </w:r>
            <w:r w:rsidRPr="00281F30">
              <w:rPr>
                <w:rFonts w:ascii="Times New Roman" w:eastAsia="Malgun Gothic" w:hAnsi="Times New Roman" w:cs="Times New Roman"/>
                <w:i/>
                <w:lang w:eastAsia="ko-KR"/>
              </w:rPr>
              <w:t>TDD-UL-DL-</w:t>
            </w:r>
            <w:proofErr w:type="spellStart"/>
            <w:r w:rsidRPr="00281F30">
              <w:rPr>
                <w:rFonts w:ascii="Times New Roman" w:eastAsia="Malgun Gothic" w:hAnsi="Times New Roman" w:cs="Times New Roman"/>
                <w:i/>
                <w:lang w:eastAsia="ko-KR"/>
              </w:rPr>
              <w:t>ConfigCommon</w:t>
            </w:r>
            <w:proofErr w:type="spellEnd"/>
          </w:p>
        </w:tc>
      </w:tr>
    </w:tbl>
    <w:p w14:paraId="53C8AAB6" w14:textId="77777777" w:rsidR="00892986" w:rsidRDefault="00892986" w:rsidP="00D41682">
      <w:pPr>
        <w:spacing w:after="120"/>
        <w:jc w:val="both"/>
        <w:rPr>
          <w:lang w:val="en-GB" w:eastAsia="ja-JP"/>
        </w:rPr>
      </w:pPr>
    </w:p>
    <w:p w14:paraId="1D14F2DE" w14:textId="04F3A67F" w:rsidR="00CE3195" w:rsidRDefault="00892986" w:rsidP="00D41682">
      <w:pPr>
        <w:spacing w:after="120"/>
        <w:jc w:val="both"/>
        <w:rPr>
          <w:lang w:val="en-GB" w:eastAsia="ja-JP"/>
        </w:rPr>
      </w:pPr>
      <w:r>
        <w:rPr>
          <w:lang w:val="en-GB" w:eastAsia="ja-JP"/>
        </w:rPr>
        <w:t xml:space="preserve">Even if the WID only mentions </w:t>
      </w:r>
      <w:r w:rsidRPr="00281F30">
        <w:rPr>
          <w:i/>
          <w:lang w:val="en-GB" w:eastAsia="ja-JP"/>
        </w:rPr>
        <w:t>TDD-UL-DL-</w:t>
      </w:r>
      <w:proofErr w:type="spellStart"/>
      <w:r w:rsidRPr="00281F30">
        <w:rPr>
          <w:i/>
          <w:lang w:val="en-GB" w:eastAsia="ja-JP"/>
        </w:rPr>
        <w:t>ConfigCommon</w:t>
      </w:r>
      <w:proofErr w:type="spellEnd"/>
      <w:r>
        <w:rPr>
          <w:lang w:val="en-GB" w:eastAsia="ja-JP"/>
        </w:rPr>
        <w:t>, in our view</w:t>
      </w:r>
      <w:r w:rsidR="008B2E1A">
        <w:rPr>
          <w:lang w:val="en-GB" w:eastAsia="ja-JP"/>
        </w:rPr>
        <w:t>,</w:t>
      </w:r>
      <w:r>
        <w:rPr>
          <w:lang w:val="en-GB" w:eastAsia="ja-JP"/>
        </w:rPr>
        <w:t xml:space="preserve"> this statement should be interpreted to also include symbols configured as D/F in </w:t>
      </w:r>
      <w:r w:rsidRPr="00281F30">
        <w:rPr>
          <w:i/>
          <w:lang w:val="en-GB" w:eastAsia="ja-JP"/>
        </w:rPr>
        <w:t>TDD-UL-DL-</w:t>
      </w:r>
      <w:proofErr w:type="spellStart"/>
      <w:r w:rsidRPr="00281F30">
        <w:rPr>
          <w:i/>
          <w:lang w:val="en-GB" w:eastAsia="ja-JP"/>
        </w:rPr>
        <w:t>ConfigDedicated</w:t>
      </w:r>
      <w:proofErr w:type="spellEnd"/>
      <w:r>
        <w:rPr>
          <w:lang w:val="en-GB" w:eastAsia="ja-JP"/>
        </w:rPr>
        <w:t>.</w:t>
      </w:r>
      <w:r w:rsidR="001D391E">
        <w:rPr>
          <w:lang w:val="en-GB" w:eastAsia="ja-JP"/>
        </w:rPr>
        <w:t xml:space="preserve"> </w:t>
      </w:r>
    </w:p>
    <w:p w14:paraId="22C2DE40" w14:textId="4D5FE821" w:rsidR="00A6520D" w:rsidRDefault="00A6520D" w:rsidP="00A6520D">
      <w:pPr>
        <w:jc w:val="both"/>
        <w:rPr>
          <w:lang w:eastAsia="ja-JP"/>
        </w:rPr>
      </w:pPr>
      <w:r>
        <w:rPr>
          <w:lang w:eastAsia="ja-JP"/>
        </w:rPr>
        <w:t xml:space="preserve">Because </w:t>
      </w:r>
      <w:r w:rsidRPr="00524EFD">
        <w:rPr>
          <w:i/>
          <w:lang w:eastAsia="ja-JP"/>
        </w:rPr>
        <w:t>TDD-UL-DL-</w:t>
      </w:r>
      <w:proofErr w:type="spellStart"/>
      <w:r w:rsidRPr="00524EFD">
        <w:rPr>
          <w:i/>
          <w:lang w:eastAsia="ja-JP"/>
        </w:rPr>
        <w:t>ConfigCommon</w:t>
      </w:r>
      <w:proofErr w:type="spellEnd"/>
      <w:r>
        <w:rPr>
          <w:lang w:eastAsia="ja-JP"/>
        </w:rPr>
        <w:t xml:space="preserve"> can be transmitted using broadcast signaling (SIB1)</w:t>
      </w:r>
      <w:r w:rsidR="00BD2349">
        <w:rPr>
          <w:lang w:eastAsia="ja-JP"/>
        </w:rPr>
        <w:t>,</w:t>
      </w:r>
      <w:r>
        <w:rPr>
          <w:lang w:eastAsia="ja-JP"/>
        </w:rPr>
        <w:t xml:space="preserve"> its size and thus configuration flexibility is limited. </w:t>
      </w:r>
      <w:r w:rsidR="00CF261A">
        <w:rPr>
          <w:lang w:eastAsia="ja-JP"/>
        </w:rPr>
        <w:t>For instance</w:t>
      </w:r>
      <w:r w:rsidR="0030225F">
        <w:rPr>
          <w:lang w:eastAsia="ja-JP"/>
        </w:rPr>
        <w:t xml:space="preserve">, </w:t>
      </w:r>
      <w:r w:rsidR="00582559">
        <w:rPr>
          <w:lang w:eastAsia="ja-JP"/>
        </w:rPr>
        <w:t xml:space="preserve">a UE </w:t>
      </w:r>
      <w:r w:rsidR="00582559">
        <w:rPr>
          <w:szCs w:val="20"/>
        </w:rPr>
        <w:t xml:space="preserve">is not expected to receive a PDSCH assigned by a PDCCH with CRC scrambled by SI-RNTI with a TBS exceeding 2976 bits. </w:t>
      </w:r>
      <w:r w:rsidRPr="00524EFD">
        <w:rPr>
          <w:i/>
          <w:lang w:eastAsia="ja-JP"/>
        </w:rPr>
        <w:t>TDD-UL-DL-</w:t>
      </w:r>
      <w:proofErr w:type="spellStart"/>
      <w:r w:rsidRPr="00524EFD">
        <w:rPr>
          <w:i/>
          <w:lang w:eastAsia="ja-JP"/>
        </w:rPr>
        <w:t>ConfigDedicated</w:t>
      </w:r>
      <w:proofErr w:type="spellEnd"/>
      <w:r>
        <w:rPr>
          <w:lang w:eastAsia="ja-JP"/>
        </w:rPr>
        <w:t xml:space="preserve"> on </w:t>
      </w:r>
      <w:r w:rsidR="001D391E">
        <w:rPr>
          <w:lang w:eastAsia="ja-JP"/>
        </w:rPr>
        <w:t xml:space="preserve">the </w:t>
      </w:r>
      <w:r>
        <w:rPr>
          <w:lang w:eastAsia="ja-JP"/>
        </w:rPr>
        <w:t>other hand is only transmitted using UE specific signaling and thus it allows more flexible configuration</w:t>
      </w:r>
      <w:r w:rsidR="001D391E">
        <w:rPr>
          <w:lang w:eastAsia="ja-JP"/>
        </w:rPr>
        <w:t xml:space="preserve"> of </w:t>
      </w:r>
      <w:r>
        <w:rPr>
          <w:lang w:eastAsia="ja-JP"/>
        </w:rPr>
        <w:t>transmission direction. In our view a similar approach should be taken when signaling which symbols that are SBFD symbols. The need to indicate SBFD symbols in cell specific signaling (</w:t>
      </w:r>
      <w:r w:rsidRPr="00524EFD">
        <w:rPr>
          <w:i/>
          <w:lang w:eastAsia="ja-JP"/>
        </w:rPr>
        <w:t>TDD-UL-DL-</w:t>
      </w:r>
      <w:proofErr w:type="spellStart"/>
      <w:r w:rsidRPr="00524EFD">
        <w:rPr>
          <w:i/>
          <w:lang w:eastAsia="ja-JP"/>
        </w:rPr>
        <w:t>ConfigCommon</w:t>
      </w:r>
      <w:proofErr w:type="spellEnd"/>
      <w:r w:rsidR="0017184A">
        <w:rPr>
          <w:lang w:eastAsia="ja-JP"/>
        </w:rPr>
        <w:t xml:space="preserve"> / SIB1</w:t>
      </w:r>
      <w:r>
        <w:rPr>
          <w:lang w:eastAsia="ja-JP"/>
        </w:rPr>
        <w:t>) depends on if UEs in RRC_IDLE mode needs to be aware of the SBFD configuration or not. This in turn depends on if SBFD operation</w:t>
      </w:r>
      <w:r w:rsidR="001D391E">
        <w:rPr>
          <w:lang w:eastAsia="ja-JP"/>
        </w:rPr>
        <w:t xml:space="preserve"> for </w:t>
      </w:r>
      <w:r>
        <w:rPr>
          <w:lang w:eastAsia="ja-JP"/>
        </w:rPr>
        <w:t>random access in RRC_IDLE mode is supported or not. Thus, in our view, the detailed design</w:t>
      </w:r>
      <w:r w:rsidR="001D391E">
        <w:rPr>
          <w:lang w:eastAsia="ja-JP"/>
        </w:rPr>
        <w:t xml:space="preserve"> of </w:t>
      </w:r>
      <w:r>
        <w:rPr>
          <w:lang w:eastAsia="ja-JP"/>
        </w:rPr>
        <w:t>how and where to configure time and frequency resources for SBFD should be postponed until after RAN#104.</w:t>
      </w:r>
    </w:p>
    <w:p w14:paraId="28D4F7EC" w14:textId="13FE786D" w:rsidR="00A6520D" w:rsidRPr="00AE474D" w:rsidRDefault="00A6520D" w:rsidP="00A6520D">
      <w:pPr>
        <w:pStyle w:val="Proposal"/>
      </w:pPr>
      <w:bookmarkStart w:id="1" w:name="_Toc159244004"/>
      <w:r>
        <w:t xml:space="preserve">Postpone the decision of whether to include SBFD configurations in cell-specific signaling </w:t>
      </w:r>
      <w:r w:rsidR="00C40DD0">
        <w:t>(</w:t>
      </w:r>
      <w:r w:rsidR="00C40DD0">
        <w:rPr>
          <w:lang w:eastAsia="ja-JP"/>
        </w:rPr>
        <w:t>TDD-UL-DL-</w:t>
      </w:r>
      <w:proofErr w:type="spellStart"/>
      <w:r w:rsidR="00C40DD0">
        <w:rPr>
          <w:lang w:eastAsia="ja-JP"/>
        </w:rPr>
        <w:t>ConfigCommon</w:t>
      </w:r>
      <w:proofErr w:type="spellEnd"/>
      <w:r w:rsidR="00C40DD0">
        <w:t xml:space="preserve">) </w:t>
      </w:r>
      <w:r>
        <w:t>or not to after the RAN#104 decision on supporting random access in RRC_IDLE mode or not.</w:t>
      </w:r>
      <w:bookmarkEnd w:id="1"/>
    </w:p>
    <w:p w14:paraId="3E9DA58F" w14:textId="4A0414A2" w:rsidR="000F7775" w:rsidRDefault="000F7775" w:rsidP="00281F30">
      <w:pPr>
        <w:pStyle w:val="Heading2"/>
      </w:pPr>
      <w:r>
        <w:t>2.1</w:t>
      </w:r>
      <w:r w:rsidR="00D16DFB">
        <w:tab/>
      </w:r>
      <w:r w:rsidR="004000B5">
        <w:t>Impact to Legacy Operation</w:t>
      </w:r>
    </w:p>
    <w:p w14:paraId="5D96A59B" w14:textId="7783EEAE" w:rsidR="00D43086" w:rsidRPr="00DC71C5" w:rsidRDefault="003106D4" w:rsidP="00281F30">
      <w:pPr>
        <w:spacing w:after="120"/>
        <w:jc w:val="both"/>
        <w:rPr>
          <w:lang w:val="en-GB" w:eastAsia="ja-JP"/>
        </w:rPr>
      </w:pPr>
      <w:r>
        <w:rPr>
          <w:lang w:val="en-GB" w:eastAsia="ja-JP"/>
        </w:rPr>
        <w:t>Next</w:t>
      </w:r>
      <w:r w:rsidR="00C83CDD">
        <w:rPr>
          <w:lang w:val="en-GB" w:eastAsia="ja-JP"/>
        </w:rPr>
        <w:t>,</w:t>
      </w:r>
      <w:r w:rsidR="00AB4B3C">
        <w:rPr>
          <w:lang w:val="en-GB" w:eastAsia="ja-JP"/>
        </w:rPr>
        <w:t xml:space="preserve"> we discuss </w:t>
      </w:r>
      <w:r w:rsidR="00BC7758">
        <w:rPr>
          <w:lang w:val="en-GB" w:eastAsia="ja-JP"/>
        </w:rPr>
        <w:t xml:space="preserve">the </w:t>
      </w:r>
      <w:r w:rsidR="00691516">
        <w:rPr>
          <w:lang w:val="en-GB" w:eastAsia="ja-JP"/>
        </w:rPr>
        <w:t>impact to legacy operation</w:t>
      </w:r>
      <w:r w:rsidR="00DD301D">
        <w:rPr>
          <w:lang w:val="en-GB" w:eastAsia="ja-JP"/>
        </w:rPr>
        <w:t xml:space="preserve"> using</w:t>
      </w:r>
      <w:r>
        <w:rPr>
          <w:lang w:val="en-GB" w:eastAsia="ja-JP"/>
        </w:rPr>
        <w:t xml:space="preserve"> an example with </w:t>
      </w:r>
      <w:r w:rsidR="001D391E">
        <w:rPr>
          <w:lang w:val="en-GB" w:eastAsia="ja-JP"/>
        </w:rPr>
        <w:t>a</w:t>
      </w:r>
      <w:r w:rsidR="001850E4">
        <w:rPr>
          <w:lang w:val="en-GB" w:eastAsia="ja-JP"/>
        </w:rPr>
        <w:t xml:space="preserve"> single</w:t>
      </w:r>
      <w:r w:rsidR="001D391E">
        <w:rPr>
          <w:lang w:val="en-GB" w:eastAsia="ja-JP"/>
        </w:rPr>
        <w:t xml:space="preserve"> DDDDU pattern configured in TDD-UL-DL-</w:t>
      </w:r>
      <w:proofErr w:type="spellStart"/>
      <w:r w:rsidR="001D391E">
        <w:rPr>
          <w:lang w:val="en-GB" w:eastAsia="ja-JP"/>
        </w:rPr>
        <w:t>ConfigCommon</w:t>
      </w:r>
      <w:proofErr w:type="spellEnd"/>
      <w:r w:rsidR="001D391E">
        <w:rPr>
          <w:lang w:val="en-GB" w:eastAsia="ja-JP"/>
        </w:rPr>
        <w:t xml:space="preserve"> </w:t>
      </w:r>
      <w:r>
        <w:rPr>
          <w:lang w:val="en-GB" w:eastAsia="ja-JP"/>
        </w:rPr>
        <w:t>(</w:t>
      </w:r>
      <w:r w:rsidR="001D391E">
        <w:rPr>
          <w:lang w:val="en-GB" w:eastAsia="ja-JP"/>
        </w:rPr>
        <w:t>even if the specification will allow other configurations as noted above</w:t>
      </w:r>
      <w:r>
        <w:rPr>
          <w:lang w:val="en-GB" w:eastAsia="ja-JP"/>
        </w:rPr>
        <w:t>)</w:t>
      </w:r>
      <w:r w:rsidR="001D391E">
        <w:rPr>
          <w:lang w:val="en-GB" w:eastAsia="ja-JP"/>
        </w:rPr>
        <w:t>.</w:t>
      </w:r>
      <w:r w:rsidR="00CE3195">
        <w:rPr>
          <w:lang w:val="en-GB" w:eastAsia="ja-JP"/>
        </w:rPr>
        <w:t xml:space="preserve"> </w:t>
      </w:r>
      <w:r w:rsidR="00D43086" w:rsidRPr="00D41682">
        <w:rPr>
          <w:lang w:val="en-GB" w:eastAsia="ja-JP"/>
        </w:rPr>
        <w:t xml:space="preserve">A baseline </w:t>
      </w:r>
      <w:r w:rsidR="00D43086" w:rsidRPr="00D41682">
        <w:rPr>
          <w:u w:val="single"/>
          <w:lang w:val="en-GB" w:eastAsia="ja-JP"/>
        </w:rPr>
        <w:t>time domain</w:t>
      </w:r>
      <w:r w:rsidR="00D43086" w:rsidRPr="00D41682">
        <w:rPr>
          <w:lang w:val="en-GB" w:eastAsia="ja-JP"/>
        </w:rPr>
        <w:t xml:space="preserve"> TDD UL/DL </w:t>
      </w:r>
      <w:r w:rsidR="00F15364">
        <w:rPr>
          <w:lang w:val="en-GB" w:eastAsia="ja-JP"/>
        </w:rPr>
        <w:t xml:space="preserve">slot </w:t>
      </w:r>
      <w:r w:rsidR="00D43086" w:rsidRPr="00D41682">
        <w:rPr>
          <w:lang w:val="en-GB" w:eastAsia="ja-JP"/>
        </w:rPr>
        <w:t xml:space="preserve">pattern is indicated </w:t>
      </w:r>
      <w:r w:rsidR="002D2D88">
        <w:rPr>
          <w:lang w:val="en-GB" w:eastAsia="ja-JP"/>
        </w:rPr>
        <w:t xml:space="preserve">commonly </w:t>
      </w:r>
      <w:r w:rsidR="007F38A8">
        <w:rPr>
          <w:lang w:val="en-GB" w:eastAsia="ja-JP"/>
        </w:rPr>
        <w:t xml:space="preserve">across the cell </w:t>
      </w:r>
      <w:r w:rsidR="00F37F85">
        <w:rPr>
          <w:lang w:val="en-GB" w:eastAsia="ja-JP"/>
        </w:rPr>
        <w:t xml:space="preserve">via </w:t>
      </w:r>
      <w:r w:rsidR="00D43086" w:rsidRPr="00D41682">
        <w:rPr>
          <w:i/>
          <w:iCs/>
          <w:lang w:val="en-GB" w:eastAsia="ja-JP"/>
        </w:rPr>
        <w:t>TDD-UL-DL-</w:t>
      </w:r>
      <w:proofErr w:type="spellStart"/>
      <w:r w:rsidR="00D43086" w:rsidRPr="00D41682">
        <w:rPr>
          <w:i/>
          <w:iCs/>
          <w:lang w:val="en-GB" w:eastAsia="ja-JP"/>
        </w:rPr>
        <w:t>ConfigCommon</w:t>
      </w:r>
      <w:proofErr w:type="spellEnd"/>
      <w:r w:rsidR="00D43086" w:rsidRPr="00D41682">
        <w:rPr>
          <w:lang w:val="en-GB" w:eastAsia="ja-JP"/>
        </w:rPr>
        <w:t xml:space="preserve">. Thus, the baseline time domain </w:t>
      </w:r>
      <w:r w:rsidR="00F15364">
        <w:rPr>
          <w:lang w:val="en-GB" w:eastAsia="ja-JP"/>
        </w:rPr>
        <w:t xml:space="preserve">slot </w:t>
      </w:r>
      <w:r w:rsidR="00D43086" w:rsidRPr="00D41682">
        <w:rPr>
          <w:lang w:val="en-GB" w:eastAsia="ja-JP"/>
        </w:rPr>
        <w:t>pattern is the same for all U</w:t>
      </w:r>
      <w:r w:rsidR="00B754D0">
        <w:rPr>
          <w:lang w:val="en-GB" w:eastAsia="ja-JP"/>
        </w:rPr>
        <w:t>E</w:t>
      </w:r>
      <w:r w:rsidR="00D43086" w:rsidRPr="00D41682">
        <w:rPr>
          <w:lang w:val="en-GB" w:eastAsia="ja-JP"/>
        </w:rPr>
        <w:t>s in the cell, e.g., D-D-D-D-U</w:t>
      </w:r>
      <w:r w:rsidR="00D41682">
        <w:rPr>
          <w:lang w:val="en-GB" w:eastAsia="ja-JP"/>
        </w:rPr>
        <w:t xml:space="preserve">. </w:t>
      </w:r>
    </w:p>
    <w:p w14:paraId="487F2772" w14:textId="270D9576" w:rsidR="00D43086" w:rsidRDefault="00D43086" w:rsidP="00D76B72">
      <w:pPr>
        <w:pStyle w:val="BodyText"/>
        <w:rPr>
          <w:lang w:val="en-GB" w:eastAsia="ja-JP"/>
        </w:rPr>
      </w:pPr>
      <w:r>
        <w:rPr>
          <w:lang w:val="en-GB"/>
        </w:rPr>
        <w:fldChar w:fldCharType="begin"/>
      </w:r>
      <w:r>
        <w:rPr>
          <w:lang w:val="en-GB"/>
        </w:rPr>
        <w:instrText xml:space="preserve"> REF _Ref101799559 \h </w:instrText>
      </w:r>
      <w:r w:rsidR="00D76B72">
        <w:rPr>
          <w:lang w:val="en-GB"/>
        </w:rPr>
        <w:instrText xml:space="preserve"> \* MERGEFORMAT </w:instrText>
      </w:r>
      <w:r>
        <w:rPr>
          <w:lang w:val="en-GB"/>
        </w:rPr>
      </w:r>
      <w:r>
        <w:rPr>
          <w:lang w:val="en-GB"/>
        </w:rPr>
        <w:fldChar w:fldCharType="separate"/>
      </w:r>
      <w:r w:rsidR="00D32653">
        <w:t xml:space="preserve">Figure </w:t>
      </w:r>
      <w:r w:rsidR="00D32653">
        <w:rPr>
          <w:noProof/>
        </w:rPr>
        <w:t>1</w:t>
      </w:r>
      <w:r>
        <w:rPr>
          <w:lang w:val="en-GB"/>
        </w:rPr>
        <w:fldChar w:fldCharType="end"/>
      </w:r>
      <w:r>
        <w:rPr>
          <w:lang w:val="en-GB" w:eastAsia="ja-JP"/>
        </w:rPr>
        <w:t xml:space="preserve"> illustrates a carrier used for SBFD operation from a system perspective for the example of a time domain </w:t>
      </w:r>
      <w:r w:rsidR="00F15364">
        <w:rPr>
          <w:lang w:val="en-GB" w:eastAsia="ja-JP"/>
        </w:rPr>
        <w:t xml:space="preserve">slot </w:t>
      </w:r>
      <w:r>
        <w:rPr>
          <w:lang w:val="en-GB" w:eastAsia="ja-JP"/>
        </w:rPr>
        <w:t xml:space="preserve">pattern D-D-D-D-U indicated by </w:t>
      </w:r>
      <w:r w:rsidRPr="00AE2EA9">
        <w:rPr>
          <w:i/>
          <w:iCs/>
          <w:lang w:val="en-GB" w:eastAsia="ja-JP"/>
        </w:rPr>
        <w:t>TDD-UL-DL-</w:t>
      </w:r>
      <w:proofErr w:type="spellStart"/>
      <w:r w:rsidRPr="00AE2EA9">
        <w:rPr>
          <w:i/>
          <w:iCs/>
          <w:lang w:val="en-GB" w:eastAsia="ja-JP"/>
        </w:rPr>
        <w:t>ConfigCommon</w:t>
      </w:r>
      <w:proofErr w:type="spellEnd"/>
      <w:r>
        <w:rPr>
          <w:lang w:val="en-GB" w:eastAsia="ja-JP"/>
        </w:rPr>
        <w:t>.</w:t>
      </w:r>
      <w:r w:rsidR="00755623">
        <w:rPr>
          <w:lang w:val="en-GB" w:eastAsia="ja-JP"/>
        </w:rPr>
        <w:t xml:space="preserve"> In our understanding, the D-U-D frequency domain pattern should serve as a basis for the specification work since it </w:t>
      </w:r>
      <w:r w:rsidR="00057C03">
        <w:rPr>
          <w:lang w:val="en-GB" w:eastAsia="ja-JP"/>
        </w:rPr>
        <w:t>makes no assumptions on the belonging of adjacent carriers.</w:t>
      </w:r>
    </w:p>
    <w:p w14:paraId="51190F2A" w14:textId="77777777" w:rsidR="00D43086" w:rsidRDefault="00D43086" w:rsidP="00D43086">
      <w:pPr>
        <w:keepNext/>
        <w:jc w:val="center"/>
      </w:pPr>
      <w:bookmarkStart w:id="2" w:name="_Hlk101959466"/>
      <w:r>
        <w:rPr>
          <w:noProof/>
        </w:rPr>
        <w:drawing>
          <wp:inline distT="0" distB="0" distL="0" distR="0" wp14:anchorId="64896B1E" wp14:editId="095BDF67">
            <wp:extent cx="3657600"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1600200"/>
                    </a:xfrm>
                    <a:prstGeom prst="rect">
                      <a:avLst/>
                    </a:prstGeom>
                    <a:noFill/>
                  </pic:spPr>
                </pic:pic>
              </a:graphicData>
            </a:graphic>
          </wp:inline>
        </w:drawing>
      </w:r>
    </w:p>
    <w:p w14:paraId="4967946D" w14:textId="75C8A165" w:rsidR="00D43086" w:rsidRDefault="00D43086" w:rsidP="00D43086">
      <w:pPr>
        <w:pStyle w:val="Caption"/>
        <w:jc w:val="center"/>
      </w:pPr>
      <w:bookmarkStart w:id="3" w:name="_Ref101799559"/>
      <w:bookmarkStart w:id="4" w:name="_Hlk158622952"/>
      <w:r>
        <w:t xml:space="preserve">Figure </w:t>
      </w:r>
      <w:r>
        <w:fldChar w:fldCharType="begin"/>
      </w:r>
      <w:r>
        <w:instrText xml:space="preserve"> SEQ Figure \* ARABIC </w:instrText>
      </w:r>
      <w:r>
        <w:fldChar w:fldCharType="separate"/>
      </w:r>
      <w:r w:rsidR="00D32653">
        <w:rPr>
          <w:noProof/>
        </w:rPr>
        <w:t>1</w:t>
      </w:r>
      <w:r>
        <w:fldChar w:fldCharType="end"/>
      </w:r>
      <w:bookmarkEnd w:id="3"/>
      <w:r>
        <w:t>: Time/frequency domain pattern with SBFD from a system perspective.</w:t>
      </w:r>
    </w:p>
    <w:bookmarkEnd w:id="2"/>
    <w:bookmarkEnd w:id="4"/>
    <w:p w14:paraId="25B5EF18" w14:textId="4129AFBE" w:rsidR="00D43086" w:rsidRDefault="00D43086" w:rsidP="00BF2463">
      <w:pPr>
        <w:jc w:val="both"/>
        <w:rPr>
          <w:lang w:eastAsia="en-GB"/>
        </w:rPr>
      </w:pPr>
      <w:r>
        <w:rPr>
          <w:lang w:eastAsia="en-GB"/>
        </w:rPr>
        <w:t xml:space="preserve">From a UE perspective, a </w:t>
      </w:r>
      <w:r w:rsidR="00110315">
        <w:rPr>
          <w:lang w:eastAsia="en-GB"/>
        </w:rPr>
        <w:t>DL</w:t>
      </w:r>
      <w:r>
        <w:rPr>
          <w:lang w:eastAsia="en-GB"/>
        </w:rPr>
        <w:t xml:space="preserve"> slot in the above time domain pattern would appear as shown in </w:t>
      </w:r>
      <w:r>
        <w:rPr>
          <w:lang w:eastAsia="en-GB"/>
        </w:rPr>
        <w:fldChar w:fldCharType="begin"/>
      </w:r>
      <w:r>
        <w:rPr>
          <w:lang w:eastAsia="en-GB"/>
        </w:rPr>
        <w:instrText xml:space="preserve"> REF _Ref101799578 \h </w:instrText>
      </w:r>
      <w:r>
        <w:rPr>
          <w:lang w:eastAsia="en-GB"/>
        </w:rPr>
      </w:r>
      <w:r>
        <w:rPr>
          <w:lang w:eastAsia="en-GB"/>
        </w:rPr>
        <w:fldChar w:fldCharType="separate"/>
      </w:r>
      <w:r w:rsidR="00D32653">
        <w:t xml:space="preserve">Figure </w:t>
      </w:r>
      <w:r w:rsidR="00D32653">
        <w:rPr>
          <w:noProof/>
        </w:rPr>
        <w:t>2</w:t>
      </w:r>
      <w:r>
        <w:rPr>
          <w:lang w:eastAsia="en-GB"/>
        </w:rPr>
        <w:fldChar w:fldCharType="end"/>
      </w:r>
      <w:r>
        <w:rPr>
          <w:lang w:eastAsia="en-GB"/>
        </w:rPr>
        <w:t xml:space="preserve">. A legacy UE would see the slot as configured for DL reception only, but the gNB would need to avoid scheduling/configuring DL transmission in the RBs </w:t>
      </w:r>
      <w:r w:rsidR="00F05855">
        <w:rPr>
          <w:lang w:eastAsia="en-GB"/>
        </w:rPr>
        <w:t>of mid subband</w:t>
      </w:r>
      <w:r w:rsidR="00BE2639">
        <w:rPr>
          <w:lang w:eastAsia="en-GB"/>
        </w:rPr>
        <w:t xml:space="preserve">  </w:t>
      </w:r>
      <w:r>
        <w:rPr>
          <w:lang w:eastAsia="en-GB"/>
        </w:rPr>
        <w:t xml:space="preserve">for this UE. A legacy UE would be unaware </w:t>
      </w:r>
      <w:r w:rsidR="00F04665">
        <w:rPr>
          <w:lang w:eastAsia="en-GB"/>
        </w:rPr>
        <w:t xml:space="preserve">of </w:t>
      </w:r>
      <w:r>
        <w:rPr>
          <w:lang w:eastAsia="en-GB"/>
        </w:rPr>
        <w:t>that these RBs can be used for UL by Rel-1</w:t>
      </w:r>
      <w:r w:rsidR="00BF2463">
        <w:rPr>
          <w:lang w:eastAsia="en-GB"/>
        </w:rPr>
        <w:t>9</w:t>
      </w:r>
      <w:r>
        <w:rPr>
          <w:lang w:eastAsia="en-GB"/>
        </w:rPr>
        <w:t xml:space="preserve"> U</w:t>
      </w:r>
      <w:r w:rsidR="00B754D0">
        <w:rPr>
          <w:lang w:eastAsia="en-GB"/>
        </w:rPr>
        <w:t>E</w:t>
      </w:r>
      <w:r>
        <w:rPr>
          <w:lang w:eastAsia="en-GB"/>
        </w:rPr>
        <w:t>s. This puts constraints on the configuration and scheduling of DL for legacy U</w:t>
      </w:r>
      <w:r w:rsidR="00B754D0">
        <w:rPr>
          <w:lang w:eastAsia="en-GB"/>
        </w:rPr>
        <w:t>E</w:t>
      </w:r>
      <w:r>
        <w:rPr>
          <w:lang w:eastAsia="en-GB"/>
        </w:rPr>
        <w:t xml:space="preserve">s, e.g., some signals/channels need to be scheduled/configured in only one of the </w:t>
      </w:r>
      <w:r w:rsidR="00110315">
        <w:rPr>
          <w:lang w:eastAsia="en-GB"/>
        </w:rPr>
        <w:t>DL</w:t>
      </w:r>
      <w:r>
        <w:rPr>
          <w:lang w:eastAsia="en-GB"/>
        </w:rPr>
        <w:t xml:space="preserve"> subbands.</w:t>
      </w:r>
    </w:p>
    <w:p w14:paraId="4FA228DC" w14:textId="5DAF1E16" w:rsidR="00D43086" w:rsidRDefault="00BC7758" w:rsidP="00A9081C">
      <w:pPr>
        <w:pStyle w:val="BodyText"/>
        <w:rPr>
          <w:lang w:eastAsia="en-GB"/>
        </w:rPr>
      </w:pPr>
      <w:r>
        <w:rPr>
          <w:lang w:eastAsia="en-GB"/>
        </w:rPr>
        <w:t>A</w:t>
      </w:r>
      <w:r w:rsidR="00D43086">
        <w:rPr>
          <w:lang w:eastAsia="en-GB"/>
        </w:rPr>
        <w:t xml:space="preserve"> Rel-1</w:t>
      </w:r>
      <w:r w:rsidR="00BF2463">
        <w:rPr>
          <w:lang w:eastAsia="en-GB"/>
        </w:rPr>
        <w:t>9</w:t>
      </w:r>
      <w:r w:rsidR="00D43086">
        <w:rPr>
          <w:lang w:eastAsia="en-GB"/>
        </w:rPr>
        <w:t xml:space="preserve"> </w:t>
      </w:r>
      <w:r w:rsidR="00F82A72">
        <w:rPr>
          <w:lang w:eastAsia="en-GB"/>
        </w:rPr>
        <w:t xml:space="preserve">SBFD aware </w:t>
      </w:r>
      <w:r w:rsidR="00D43086">
        <w:rPr>
          <w:lang w:eastAsia="en-GB"/>
        </w:rPr>
        <w:t xml:space="preserve">UE understands that a </w:t>
      </w:r>
      <w:r w:rsidR="00110315">
        <w:rPr>
          <w:lang w:eastAsia="en-GB"/>
        </w:rPr>
        <w:t>DL</w:t>
      </w:r>
      <w:r w:rsidR="00D43086">
        <w:rPr>
          <w:lang w:eastAsia="en-GB"/>
        </w:rPr>
        <w:t xml:space="preserve"> slot in the above pattern can be used for either DL reception or UL transmission (but not simultaneously</w:t>
      </w:r>
      <w:r w:rsidR="00B44482">
        <w:rPr>
          <w:lang w:eastAsia="en-GB"/>
        </w:rPr>
        <w:t xml:space="preserve"> for the same UE</w:t>
      </w:r>
      <w:r w:rsidR="00311ABB">
        <w:rPr>
          <w:lang w:eastAsia="en-GB"/>
        </w:rPr>
        <w:t xml:space="preserve"> and not in the same resource</w:t>
      </w:r>
      <w:r w:rsidR="00D43086">
        <w:rPr>
          <w:lang w:eastAsia="en-GB"/>
        </w:rPr>
        <w:t xml:space="preserve">). While the gNB would still need to avoid scheduling/configuring DL in the RBs </w:t>
      </w:r>
      <w:r w:rsidR="00B778C6">
        <w:rPr>
          <w:lang w:eastAsia="en-GB"/>
        </w:rPr>
        <w:t xml:space="preserve">of </w:t>
      </w:r>
      <w:r>
        <w:rPr>
          <w:lang w:eastAsia="en-GB"/>
        </w:rPr>
        <w:t xml:space="preserve">the </w:t>
      </w:r>
      <w:r w:rsidR="00B778C6">
        <w:rPr>
          <w:lang w:eastAsia="en-GB"/>
        </w:rPr>
        <w:t>mid</w:t>
      </w:r>
      <w:r>
        <w:rPr>
          <w:lang w:eastAsia="en-GB"/>
        </w:rPr>
        <w:t>dle UL</w:t>
      </w:r>
      <w:r w:rsidR="00B778C6">
        <w:rPr>
          <w:lang w:eastAsia="en-GB"/>
        </w:rPr>
        <w:t xml:space="preserve"> subband </w:t>
      </w:r>
      <w:r w:rsidR="00D43086">
        <w:rPr>
          <w:lang w:eastAsia="en-GB"/>
        </w:rPr>
        <w:t>for legacy U</w:t>
      </w:r>
      <w:r w:rsidR="00B754D0">
        <w:rPr>
          <w:lang w:eastAsia="en-GB"/>
        </w:rPr>
        <w:t>E</w:t>
      </w:r>
      <w:r w:rsidR="00D43086">
        <w:rPr>
          <w:lang w:eastAsia="en-GB"/>
        </w:rPr>
        <w:t xml:space="preserve">s, new behavior for certain signals/channels can be specified for making use of both </w:t>
      </w:r>
      <w:r w:rsidR="00110315">
        <w:rPr>
          <w:lang w:eastAsia="en-GB"/>
        </w:rPr>
        <w:t>DL</w:t>
      </w:r>
      <w:r w:rsidR="00D43086">
        <w:rPr>
          <w:lang w:eastAsia="en-GB"/>
        </w:rPr>
        <w:t xml:space="preserve"> subbands.</w:t>
      </w:r>
    </w:p>
    <w:p w14:paraId="5EF05107" w14:textId="5B78A245" w:rsidR="00D43086" w:rsidRPr="00BD66EA" w:rsidRDefault="00F46168" w:rsidP="00D43086">
      <w:pPr>
        <w:pStyle w:val="Caption"/>
        <w:jc w:val="center"/>
      </w:pPr>
      <w:r>
        <w:rPr>
          <w:noProof/>
        </w:rPr>
        <w:lastRenderedPageBreak/>
        <w:drawing>
          <wp:inline distT="0" distB="0" distL="0" distR="0" wp14:anchorId="6E847DBA" wp14:editId="2ECCFEE8">
            <wp:extent cx="2707481" cy="19332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7558" cy="1947579"/>
                    </a:xfrm>
                    <a:prstGeom prst="rect">
                      <a:avLst/>
                    </a:prstGeom>
                    <a:noFill/>
                  </pic:spPr>
                </pic:pic>
              </a:graphicData>
            </a:graphic>
          </wp:inline>
        </w:drawing>
      </w:r>
      <w:r w:rsidR="00F968F5">
        <w:br/>
      </w:r>
      <w:bookmarkStart w:id="5" w:name="_Ref101799578"/>
      <w:r w:rsidR="00D43086">
        <w:t xml:space="preserve">Figure </w:t>
      </w:r>
      <w:r w:rsidR="00D43086">
        <w:fldChar w:fldCharType="begin"/>
      </w:r>
      <w:r w:rsidR="00D43086">
        <w:instrText xml:space="preserve"> SEQ Figure \* ARABIC </w:instrText>
      </w:r>
      <w:r w:rsidR="00D43086">
        <w:fldChar w:fldCharType="separate"/>
      </w:r>
      <w:r w:rsidR="00D32653">
        <w:rPr>
          <w:noProof/>
        </w:rPr>
        <w:t>2</w:t>
      </w:r>
      <w:r w:rsidR="00D43086">
        <w:fldChar w:fldCharType="end"/>
      </w:r>
      <w:bookmarkEnd w:id="5"/>
      <w:r w:rsidR="00D43086">
        <w:t>: Time/frequency domain pattern from a UE perspective (legacy and Rel-1</w:t>
      </w:r>
      <w:r w:rsidR="00BF2463">
        <w:t>9</w:t>
      </w:r>
      <w:r w:rsidR="00D43086">
        <w:t xml:space="preserve"> U</w:t>
      </w:r>
      <w:r w:rsidR="00B754D0">
        <w:t>E</w:t>
      </w:r>
      <w:r w:rsidR="00D43086">
        <w:t xml:space="preserve">s) within one of the </w:t>
      </w:r>
      <w:r w:rsidR="00EE5F54">
        <w:t>DL</w:t>
      </w:r>
      <w:r w:rsidR="00D43086">
        <w:t xml:space="preserve"> slots.</w:t>
      </w:r>
    </w:p>
    <w:p w14:paraId="22E53595" w14:textId="7F084EF6" w:rsidR="00BC7758" w:rsidRPr="00A52ABC" w:rsidRDefault="00D43086" w:rsidP="00BC7758">
      <w:pPr>
        <w:pStyle w:val="Observation"/>
      </w:pPr>
      <w:bookmarkStart w:id="6" w:name="_Toc102140463"/>
      <w:bookmarkStart w:id="7" w:name="_Hlk158621662"/>
      <w:bookmarkStart w:id="8" w:name="_Toc159243981"/>
      <w:r>
        <w:rPr>
          <w:lang w:val="en-GB"/>
        </w:rPr>
        <w:t xml:space="preserve">A legacy UE </w:t>
      </w:r>
      <w:r w:rsidR="00CA5024">
        <w:rPr>
          <w:lang w:val="en-GB"/>
        </w:rPr>
        <w:t>considers</w:t>
      </w:r>
      <w:r>
        <w:rPr>
          <w:lang w:val="en-GB"/>
        </w:rPr>
        <w:t xml:space="preserve"> symbols configured for SBFD operation as DL-only </w:t>
      </w:r>
      <w:bookmarkEnd w:id="6"/>
      <w:r w:rsidR="001850E4">
        <w:rPr>
          <w:lang w:val="en-GB"/>
        </w:rPr>
        <w:t xml:space="preserve">or flexible, thus </w:t>
      </w:r>
      <w:r w:rsidR="001850E4">
        <w:t xml:space="preserve">signals/channels not supporting </w:t>
      </w:r>
      <w:r w:rsidR="001850E4" w:rsidRPr="00BC7758">
        <w:t>discontinuous</w:t>
      </w:r>
      <w:r w:rsidR="001850E4">
        <w:t xml:space="preserve"> frequency allocations need to be scheduled/configured in only one of the </w:t>
      </w:r>
      <w:r w:rsidR="00EE5F54">
        <w:t>DL</w:t>
      </w:r>
      <w:r w:rsidR="001850E4">
        <w:t xml:space="preserve"> subbands.</w:t>
      </w:r>
      <w:bookmarkEnd w:id="8"/>
    </w:p>
    <w:p w14:paraId="61AE3375" w14:textId="7CCA2BC6" w:rsidR="008E6269" w:rsidRDefault="00B754D0" w:rsidP="008E6269">
      <w:pPr>
        <w:pStyle w:val="BodyText"/>
        <w:rPr>
          <w:lang w:val="en-GB"/>
        </w:rPr>
      </w:pPr>
      <w:r>
        <w:rPr>
          <w:lang w:val="en-GB"/>
        </w:rPr>
        <w:t xml:space="preserve">The above limitations are particularly relevant for initial access. </w:t>
      </w:r>
      <w:r w:rsidR="008E6269">
        <w:rPr>
          <w:lang w:val="en-GB"/>
        </w:rPr>
        <w:t>During initial access, the UE receives the following signals/channels, all of which are restricted in current specifications to have contiguous frequency domain resource allocation (FDRA):</w:t>
      </w:r>
    </w:p>
    <w:p w14:paraId="72F8F913" w14:textId="77777777" w:rsidR="008E6269" w:rsidRPr="007F7B8E" w:rsidRDefault="008E6269" w:rsidP="008E6269">
      <w:pPr>
        <w:pStyle w:val="BodyText"/>
        <w:numPr>
          <w:ilvl w:val="0"/>
          <w:numId w:val="52"/>
        </w:numPr>
        <w:rPr>
          <w:lang w:val="en-GB"/>
        </w:rPr>
      </w:pPr>
      <w:r w:rsidRPr="007F7B8E">
        <w:rPr>
          <w:lang w:val="en-GB"/>
        </w:rPr>
        <w:t>SS/PBCH Block</w:t>
      </w:r>
    </w:p>
    <w:p w14:paraId="54784B7B" w14:textId="77777777" w:rsidR="008E6269" w:rsidRPr="007F7B8E" w:rsidRDefault="008E6269" w:rsidP="008E6269">
      <w:pPr>
        <w:pStyle w:val="BodyText"/>
        <w:numPr>
          <w:ilvl w:val="0"/>
          <w:numId w:val="52"/>
        </w:numPr>
        <w:rPr>
          <w:lang w:val="en-GB"/>
        </w:rPr>
      </w:pPr>
      <w:r w:rsidRPr="007F7B8E">
        <w:rPr>
          <w:lang w:val="en-GB"/>
        </w:rPr>
        <w:t>PDCCH in Type0-CSS</w:t>
      </w:r>
    </w:p>
    <w:p w14:paraId="25F49802" w14:textId="77777777" w:rsidR="008E6269" w:rsidRPr="007F7B8E" w:rsidRDefault="008E6269" w:rsidP="008E6269">
      <w:pPr>
        <w:pStyle w:val="BodyText"/>
        <w:numPr>
          <w:ilvl w:val="0"/>
          <w:numId w:val="52"/>
        </w:numPr>
        <w:rPr>
          <w:lang w:val="en-GB"/>
        </w:rPr>
      </w:pPr>
      <w:r w:rsidRPr="007F7B8E">
        <w:rPr>
          <w:lang w:val="en-GB"/>
        </w:rPr>
        <w:t>RMSI PDSCH</w:t>
      </w:r>
    </w:p>
    <w:p w14:paraId="337854E7" w14:textId="1FFFAFD3" w:rsidR="008E6269" w:rsidRDefault="008E6269" w:rsidP="008E6269">
      <w:pPr>
        <w:pStyle w:val="BodyText"/>
        <w:rPr>
          <w:lang w:val="en-GB"/>
        </w:rPr>
      </w:pPr>
      <w:r>
        <w:rPr>
          <w:lang w:val="en-GB"/>
        </w:rPr>
        <w:t xml:space="preserve">Hence, in an SBFD system, the gNB must ensure that </w:t>
      </w:r>
      <w:r w:rsidR="00EE5F54">
        <w:rPr>
          <w:lang w:val="en-GB"/>
        </w:rPr>
        <w:t xml:space="preserve">all </w:t>
      </w:r>
      <w:r>
        <w:rPr>
          <w:lang w:val="en-GB"/>
        </w:rPr>
        <w:t xml:space="preserve">these signals </w:t>
      </w:r>
      <w:r w:rsidR="00EE5F54">
        <w:rPr>
          <w:lang w:val="en-GB"/>
        </w:rPr>
        <w:t xml:space="preserve">can </w:t>
      </w:r>
      <w:r w:rsidR="00BD02AF">
        <w:rPr>
          <w:lang w:val="en-GB"/>
        </w:rPr>
        <w:t xml:space="preserve">reside </w:t>
      </w:r>
      <w:r>
        <w:rPr>
          <w:lang w:val="en-GB"/>
        </w:rPr>
        <w:t xml:space="preserve">within one of the </w:t>
      </w:r>
      <w:r w:rsidR="00EE5F54">
        <w:rPr>
          <w:lang w:val="en-GB"/>
        </w:rPr>
        <w:t>DL</w:t>
      </w:r>
      <w:r>
        <w:rPr>
          <w:lang w:val="en-GB"/>
        </w:rPr>
        <w:t xml:space="preserve"> subbands in D-U-D slots/symbols. This puts a constraint on the maximum </w:t>
      </w:r>
      <w:r w:rsidR="00EE5F54">
        <w:rPr>
          <w:lang w:val="en-GB"/>
        </w:rPr>
        <w:t>number of RBs in</w:t>
      </w:r>
      <w:r>
        <w:rPr>
          <w:lang w:val="en-GB"/>
        </w:rPr>
        <w:t xml:space="preserve"> the </w:t>
      </w:r>
      <w:r w:rsidR="00EE5F54">
        <w:rPr>
          <w:lang w:val="en-GB"/>
        </w:rPr>
        <w:t>UL subband</w:t>
      </w:r>
      <w:r>
        <w:rPr>
          <w:lang w:val="en-GB"/>
        </w:rPr>
        <w:t xml:space="preserve"> for a given carrier bandwidth. The constraint is determined by investigating the bandwidth requirements of CORESET0 for various configurations. Here we </w:t>
      </w:r>
      <w:r w:rsidRPr="34C7156C">
        <w:rPr>
          <w:lang w:val="en-GB"/>
        </w:rPr>
        <w:t>analyse</w:t>
      </w:r>
      <w:r>
        <w:rPr>
          <w:lang w:val="en-GB"/>
        </w:rPr>
        <w:t xml:space="preserve"> the maximum size of the </w:t>
      </w:r>
      <w:r w:rsidR="00EE5F54">
        <w:rPr>
          <w:lang w:val="en-GB"/>
        </w:rPr>
        <w:t>UL subband</w:t>
      </w:r>
      <w:r>
        <w:rPr>
          <w:lang w:val="en-GB"/>
        </w:rPr>
        <w:t xml:space="preserve"> RB set under the following assumptions:</w:t>
      </w:r>
    </w:p>
    <w:p w14:paraId="2A5DE308" w14:textId="5AE2B5E8" w:rsidR="008E6269" w:rsidRPr="007F7B8E" w:rsidRDefault="008E6269" w:rsidP="008E6269">
      <w:pPr>
        <w:pStyle w:val="BodyText"/>
        <w:numPr>
          <w:ilvl w:val="0"/>
          <w:numId w:val="53"/>
        </w:numPr>
        <w:rPr>
          <w:lang w:val="en-GB"/>
        </w:rPr>
      </w:pPr>
      <w:r w:rsidRPr="007F7B8E">
        <w:rPr>
          <w:lang w:val="en-GB"/>
        </w:rPr>
        <w:t>Symmetric D-U-D allocation (</w:t>
      </w:r>
      <w:r w:rsidR="00EE5F54">
        <w:rPr>
          <w:lang w:val="en-GB"/>
        </w:rPr>
        <w:t>DL</w:t>
      </w:r>
      <w:r w:rsidRPr="007F7B8E">
        <w:rPr>
          <w:lang w:val="en-GB"/>
        </w:rPr>
        <w:t xml:space="preserve"> subbands have equal bandwidth)</w:t>
      </w:r>
    </w:p>
    <w:p w14:paraId="6EDB7DD3" w14:textId="77777777" w:rsidR="008E6269" w:rsidRPr="007F7B8E" w:rsidRDefault="008E6269" w:rsidP="008E6269">
      <w:pPr>
        <w:pStyle w:val="BodyText"/>
        <w:numPr>
          <w:ilvl w:val="0"/>
          <w:numId w:val="53"/>
        </w:numPr>
        <w:rPr>
          <w:lang w:val="en-GB"/>
        </w:rPr>
      </w:pPr>
      <w:r w:rsidRPr="007F7B8E">
        <w:rPr>
          <w:lang w:val="en-GB"/>
        </w:rPr>
        <w:t xml:space="preserve">Same subcarrier spacing for SS/PBCH block and </w:t>
      </w:r>
      <w:proofErr w:type="gramStart"/>
      <w:r w:rsidRPr="007F7B8E">
        <w:rPr>
          <w:lang w:val="en-GB"/>
        </w:rPr>
        <w:t>CORESET0</w:t>
      </w:r>
      <w:proofErr w:type="gramEnd"/>
    </w:p>
    <w:p w14:paraId="7576F246" w14:textId="77777777" w:rsidR="008E6269" w:rsidRPr="007F7B8E" w:rsidRDefault="008E6269" w:rsidP="008E6269">
      <w:pPr>
        <w:pStyle w:val="BodyText"/>
        <w:numPr>
          <w:ilvl w:val="1"/>
          <w:numId w:val="53"/>
        </w:numPr>
        <w:rPr>
          <w:lang w:val="en-GB"/>
        </w:rPr>
      </w:pPr>
      <w:r w:rsidRPr="007F7B8E">
        <w:rPr>
          <w:lang w:val="en-GB"/>
        </w:rPr>
        <w:t>30 kHz SCS for FR1</w:t>
      </w:r>
    </w:p>
    <w:p w14:paraId="6F39538C" w14:textId="77777777" w:rsidR="008E6269" w:rsidRPr="007F7B8E" w:rsidRDefault="008E6269" w:rsidP="008E6269">
      <w:pPr>
        <w:pStyle w:val="BodyText"/>
        <w:numPr>
          <w:ilvl w:val="1"/>
          <w:numId w:val="53"/>
        </w:numPr>
        <w:rPr>
          <w:lang w:val="en-GB"/>
        </w:rPr>
      </w:pPr>
      <w:r w:rsidRPr="007F7B8E">
        <w:rPr>
          <w:lang w:val="en-GB"/>
        </w:rPr>
        <w:t>120 kHz SCS for FR2</w:t>
      </w:r>
    </w:p>
    <w:p w14:paraId="05472643" w14:textId="77777777" w:rsidR="008E6269" w:rsidRPr="007F7B8E" w:rsidRDefault="008E6269" w:rsidP="008E6269">
      <w:pPr>
        <w:pStyle w:val="BodyText"/>
        <w:numPr>
          <w:ilvl w:val="0"/>
          <w:numId w:val="53"/>
        </w:numPr>
        <w:rPr>
          <w:lang w:val="en-GB"/>
        </w:rPr>
      </w:pPr>
      <w:r w:rsidRPr="007F7B8E">
        <w:rPr>
          <w:lang w:val="en-GB"/>
        </w:rPr>
        <w:t>No guard bands between RB sets</w:t>
      </w:r>
    </w:p>
    <w:p w14:paraId="15938A52" w14:textId="0DD964A1" w:rsidR="008E6269" w:rsidRPr="007F7B8E" w:rsidRDefault="008E6269" w:rsidP="008E6269">
      <w:pPr>
        <w:pStyle w:val="BodyText"/>
        <w:numPr>
          <w:ilvl w:val="0"/>
          <w:numId w:val="53"/>
        </w:numPr>
        <w:rPr>
          <w:lang w:val="en-GB"/>
        </w:rPr>
      </w:pPr>
      <w:r w:rsidRPr="007F7B8E">
        <w:rPr>
          <w:lang w:val="en-GB"/>
        </w:rPr>
        <w:t xml:space="preserve">Minimum value of SSB-CORESET0 offset for each CORESET0 size according to tables in 38.213 Section 13 (allows for maximization of the size of the </w:t>
      </w:r>
      <w:r w:rsidR="00B754D0">
        <w:rPr>
          <w:lang w:val="en-GB"/>
        </w:rPr>
        <w:t>UL subband</w:t>
      </w:r>
      <w:r w:rsidRPr="007F7B8E">
        <w:rPr>
          <w:lang w:val="en-GB"/>
        </w:rPr>
        <w:t xml:space="preserve"> RB set)</w:t>
      </w:r>
    </w:p>
    <w:p w14:paraId="582E252F" w14:textId="3EDDDA50" w:rsidR="008E6269" w:rsidRDefault="008E6269" w:rsidP="008E6269">
      <w:pPr>
        <w:pStyle w:val="BodyText"/>
        <w:rPr>
          <w:lang w:val="en-GB" w:eastAsia="ja-JP"/>
        </w:rPr>
      </w:pPr>
      <w:r w:rsidRPr="00C814D0">
        <w:rPr>
          <w:rStyle w:val="BodyTextChar"/>
        </w:rPr>
        <w:fldChar w:fldCharType="begin"/>
      </w:r>
      <w:r w:rsidRPr="00C814D0">
        <w:rPr>
          <w:rStyle w:val="BodyTextChar"/>
        </w:rPr>
        <w:instrText xml:space="preserve"> REF _Ref101872379 \h  \* MERGEFORMAT </w:instrText>
      </w:r>
      <w:r w:rsidRPr="00C814D0">
        <w:rPr>
          <w:rStyle w:val="BodyTextChar"/>
        </w:rPr>
        <w:fldChar w:fldCharType="separate"/>
      </w:r>
      <w:r w:rsidR="00D32653">
        <w:rPr>
          <w:rStyle w:val="BodyTextChar"/>
          <w:b/>
          <w:bCs/>
        </w:rPr>
        <w:t>Error! Reference source not found.</w:t>
      </w:r>
      <w:r w:rsidRPr="00C814D0">
        <w:rPr>
          <w:rStyle w:val="BodyTextChar"/>
        </w:rPr>
        <w:fldChar w:fldCharType="end"/>
      </w:r>
      <w:r w:rsidRPr="00C814D0">
        <w:rPr>
          <w:rStyle w:val="BodyTextChar"/>
        </w:rPr>
        <w:t xml:space="preserve"> shows the maximum size of the UL </w:t>
      </w:r>
      <w:r w:rsidR="00EE5F54">
        <w:rPr>
          <w:rStyle w:val="BodyTextChar"/>
        </w:rPr>
        <w:t xml:space="preserve">subband </w:t>
      </w:r>
      <w:r w:rsidRPr="00C814D0">
        <w:rPr>
          <w:rStyle w:val="BodyTextChar"/>
        </w:rPr>
        <w:t xml:space="preserve">RB set as a percentage of the total number of RBs in the transmission bandwidth under the constraint that both SSB (corresponds to 20 RBs) and CORESET0 (corresponds to either 24, 48 or 96 RBs) must fit into one of the </w:t>
      </w:r>
      <w:r w:rsidR="00EE5F54">
        <w:rPr>
          <w:rStyle w:val="BodyTextChar"/>
        </w:rPr>
        <w:t>DL</w:t>
      </w:r>
      <w:r w:rsidRPr="00C814D0">
        <w:rPr>
          <w:rStyle w:val="BodyTextChar"/>
        </w:rPr>
        <w:t xml:space="preserve"> subbands. The table can be summarized as follows, where </w:t>
      </w:r>
      <w:r w:rsidRPr="00B67EFF">
        <w:rPr>
          <w:rStyle w:val="BodyTextChar"/>
          <w:i/>
          <w:iCs/>
        </w:rPr>
        <w:t>feasible</w:t>
      </w:r>
      <w:r w:rsidRPr="00C814D0">
        <w:rPr>
          <w:rStyle w:val="BodyTextChar"/>
        </w:rPr>
        <w:t xml:space="preserve"> means that the maximum UL allocation corresponds to greater than 20% of the</w:t>
      </w:r>
      <w:r>
        <w:rPr>
          <w:lang w:val="en-GB" w:eastAsia="ja-JP"/>
        </w:rPr>
        <w:t xml:space="preserve"> total number RBs:</w:t>
      </w:r>
    </w:p>
    <w:p w14:paraId="7D555B28" w14:textId="77777777" w:rsidR="008E6269" w:rsidRPr="00B11785" w:rsidRDefault="008E6269" w:rsidP="008E6269">
      <w:pPr>
        <w:pStyle w:val="BodyText"/>
        <w:numPr>
          <w:ilvl w:val="0"/>
          <w:numId w:val="54"/>
        </w:numPr>
        <w:rPr>
          <w:lang w:val="en-GB"/>
        </w:rPr>
      </w:pPr>
      <w:r w:rsidRPr="00B11785">
        <w:rPr>
          <w:lang w:val="en-GB"/>
        </w:rPr>
        <w:t>FR1 with 15 kHz SCS:</w:t>
      </w:r>
    </w:p>
    <w:p w14:paraId="4E96FAA0" w14:textId="77777777" w:rsidR="008E6269" w:rsidRPr="00B11785" w:rsidRDefault="008E6269" w:rsidP="008E6269">
      <w:pPr>
        <w:pStyle w:val="BodyText"/>
        <w:numPr>
          <w:ilvl w:val="1"/>
          <w:numId w:val="54"/>
        </w:numPr>
        <w:rPr>
          <w:lang w:val="en-GB"/>
        </w:rPr>
      </w:pPr>
      <w:r w:rsidRPr="00B11785">
        <w:rPr>
          <w:lang w:val="en-GB"/>
        </w:rPr>
        <w:t>40 MHz channel bandwidth is sufficient for feasibility of 24 and 48 RB CORESET0 (but not 96 RB)</w:t>
      </w:r>
    </w:p>
    <w:p w14:paraId="1119B7F3" w14:textId="77777777" w:rsidR="008E6269" w:rsidRPr="00B11785" w:rsidRDefault="008E6269" w:rsidP="008E6269">
      <w:pPr>
        <w:pStyle w:val="BodyText"/>
        <w:numPr>
          <w:ilvl w:val="0"/>
          <w:numId w:val="54"/>
        </w:numPr>
        <w:rPr>
          <w:lang w:val="en-GB"/>
        </w:rPr>
      </w:pPr>
      <w:r w:rsidRPr="00B11785">
        <w:rPr>
          <w:lang w:val="en-GB"/>
        </w:rPr>
        <w:t>FR1 with 30 kHz SCS:</w:t>
      </w:r>
    </w:p>
    <w:p w14:paraId="22B2A75E" w14:textId="77777777" w:rsidR="008E6269" w:rsidRPr="00B11785" w:rsidRDefault="008E6269" w:rsidP="008E6269">
      <w:pPr>
        <w:pStyle w:val="BodyText"/>
        <w:numPr>
          <w:ilvl w:val="1"/>
          <w:numId w:val="54"/>
        </w:numPr>
        <w:rPr>
          <w:lang w:val="en-GB"/>
        </w:rPr>
      </w:pPr>
      <w:r w:rsidRPr="00B11785">
        <w:rPr>
          <w:lang w:val="en-GB"/>
        </w:rPr>
        <w:t>100 MHz channel bandwidth is required for feasibility of 48 RB CORESET0</w:t>
      </w:r>
    </w:p>
    <w:p w14:paraId="3ACB7C91" w14:textId="77777777" w:rsidR="008E6269" w:rsidRPr="00B11785" w:rsidRDefault="008E6269" w:rsidP="008E6269">
      <w:pPr>
        <w:pStyle w:val="BodyText"/>
        <w:numPr>
          <w:ilvl w:val="1"/>
          <w:numId w:val="54"/>
        </w:numPr>
        <w:rPr>
          <w:lang w:val="en-GB"/>
        </w:rPr>
      </w:pPr>
      <w:r w:rsidRPr="00B11785">
        <w:rPr>
          <w:lang w:val="en-GB"/>
        </w:rPr>
        <w:t>40 MHz bandwidth is sufficient for feasibility of 24 RB CORESET0</w:t>
      </w:r>
    </w:p>
    <w:p w14:paraId="2B76A217" w14:textId="77777777" w:rsidR="008E6269" w:rsidRPr="00B11785" w:rsidRDefault="008E6269" w:rsidP="008E6269">
      <w:pPr>
        <w:pStyle w:val="BodyText"/>
        <w:numPr>
          <w:ilvl w:val="0"/>
          <w:numId w:val="54"/>
        </w:numPr>
        <w:rPr>
          <w:lang w:val="en-GB"/>
        </w:rPr>
      </w:pPr>
      <w:r w:rsidRPr="00B11785">
        <w:rPr>
          <w:lang w:val="en-GB"/>
        </w:rPr>
        <w:t>FR2 with 120 kHz SCS:</w:t>
      </w:r>
    </w:p>
    <w:p w14:paraId="013516EA" w14:textId="77777777" w:rsidR="008E6269" w:rsidRPr="00B11785" w:rsidRDefault="008E6269" w:rsidP="008E6269">
      <w:pPr>
        <w:pStyle w:val="BodyText"/>
        <w:numPr>
          <w:ilvl w:val="1"/>
          <w:numId w:val="54"/>
        </w:numPr>
        <w:rPr>
          <w:lang w:val="en-GB"/>
        </w:rPr>
      </w:pPr>
      <w:r w:rsidRPr="00B11785">
        <w:rPr>
          <w:lang w:val="en-GB"/>
        </w:rPr>
        <w:lastRenderedPageBreak/>
        <w:t>400 MHz channel bandwidth is required for feasibility of:</w:t>
      </w:r>
    </w:p>
    <w:p w14:paraId="6CBCB837" w14:textId="77777777" w:rsidR="008E6269" w:rsidRPr="00B11785" w:rsidRDefault="008E6269" w:rsidP="008E6269">
      <w:pPr>
        <w:pStyle w:val="BodyText"/>
        <w:numPr>
          <w:ilvl w:val="2"/>
          <w:numId w:val="54"/>
        </w:numPr>
        <w:rPr>
          <w:lang w:val="en-GB"/>
        </w:rPr>
      </w:pPr>
      <w:r w:rsidRPr="00B11785">
        <w:rPr>
          <w:lang w:val="en-GB"/>
        </w:rPr>
        <w:t>48 RB CORESET0 + Mux Pattern1</w:t>
      </w:r>
    </w:p>
    <w:p w14:paraId="1EF41271" w14:textId="77777777" w:rsidR="008E6269" w:rsidRPr="00B11785" w:rsidRDefault="008E6269" w:rsidP="008E6269">
      <w:pPr>
        <w:pStyle w:val="BodyText"/>
        <w:numPr>
          <w:ilvl w:val="2"/>
          <w:numId w:val="54"/>
        </w:numPr>
        <w:rPr>
          <w:lang w:val="en-GB"/>
        </w:rPr>
      </w:pPr>
      <w:r w:rsidRPr="00B11785">
        <w:rPr>
          <w:lang w:val="en-GB"/>
        </w:rPr>
        <w:t>24 RB CORESET0 + Mux Pattern 1 or 2</w:t>
      </w:r>
    </w:p>
    <w:p w14:paraId="14742CD4" w14:textId="77777777" w:rsidR="008E6269" w:rsidRPr="00B11785" w:rsidRDefault="008E6269" w:rsidP="008E6269">
      <w:pPr>
        <w:pStyle w:val="BodyText"/>
        <w:numPr>
          <w:ilvl w:val="1"/>
          <w:numId w:val="54"/>
        </w:numPr>
        <w:rPr>
          <w:lang w:val="en-GB"/>
        </w:rPr>
      </w:pPr>
      <w:r w:rsidRPr="00B11785">
        <w:rPr>
          <w:lang w:val="en-GB"/>
        </w:rPr>
        <w:t>200 MHz channel bandwidth is sufficient for feasibility of 24 RB CORESET0 + Mux Pattern 1 (but not Mux Pattern 2)</w:t>
      </w:r>
    </w:p>
    <w:p w14:paraId="47E88833" w14:textId="29152AA8" w:rsidR="008E6269" w:rsidRDefault="008E6269" w:rsidP="008E6269">
      <w:pPr>
        <w:pStyle w:val="Caption"/>
        <w:jc w:val="center"/>
      </w:pPr>
      <w:r>
        <w:t xml:space="preserve">Table </w:t>
      </w:r>
      <w:r>
        <w:fldChar w:fldCharType="begin"/>
      </w:r>
      <w:r>
        <w:instrText xml:space="preserve"> SEQ Table \* ARABIC </w:instrText>
      </w:r>
      <w:r>
        <w:fldChar w:fldCharType="separate"/>
      </w:r>
      <w:r w:rsidR="00D32653">
        <w:rPr>
          <w:noProof/>
        </w:rPr>
        <w:t>1</w:t>
      </w:r>
      <w:r>
        <w:fldChar w:fldCharType="end"/>
      </w:r>
      <w:r>
        <w:t xml:space="preserve">: Maximum % of RBs that can be configured for </w:t>
      </w:r>
      <w:r w:rsidR="00EE5F54">
        <w:t>UL subband</w:t>
      </w:r>
      <w:r>
        <w:t xml:space="preserve"> for FR1 and FR2</w:t>
      </w:r>
    </w:p>
    <w:tbl>
      <w:tblPr>
        <w:tblStyle w:val="TableGrid"/>
        <w:tblW w:w="8576" w:type="dxa"/>
        <w:jc w:val="center"/>
        <w:tblLook w:val="04A0" w:firstRow="1" w:lastRow="0" w:firstColumn="1" w:lastColumn="0" w:noHBand="0" w:noVBand="1"/>
      </w:tblPr>
      <w:tblGrid>
        <w:gridCol w:w="1256"/>
        <w:gridCol w:w="1169"/>
        <w:gridCol w:w="1039"/>
        <w:gridCol w:w="1525"/>
        <w:gridCol w:w="1004"/>
        <w:gridCol w:w="1400"/>
        <w:gridCol w:w="1183"/>
      </w:tblGrid>
      <w:tr w:rsidR="006C41CC" w14:paraId="02805426" w14:textId="77777777" w:rsidTr="00F364F6">
        <w:trPr>
          <w:jc w:val="center"/>
        </w:trPr>
        <w:tc>
          <w:tcPr>
            <w:tcW w:w="1256" w:type="dxa"/>
            <w:vAlign w:val="center"/>
          </w:tcPr>
          <w:p w14:paraId="3EBDD56F"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Frequency Range</w:t>
            </w:r>
          </w:p>
        </w:tc>
        <w:tc>
          <w:tcPr>
            <w:tcW w:w="1169" w:type="dxa"/>
            <w:vAlign w:val="center"/>
          </w:tcPr>
          <w:p w14:paraId="13B1D30D"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SCS</w:t>
            </w:r>
          </w:p>
        </w:tc>
        <w:tc>
          <w:tcPr>
            <w:tcW w:w="1039" w:type="dxa"/>
            <w:vAlign w:val="center"/>
          </w:tcPr>
          <w:p w14:paraId="27FA5764"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Channel BW</w:t>
            </w:r>
          </w:p>
        </w:tc>
        <w:tc>
          <w:tcPr>
            <w:tcW w:w="1525" w:type="dxa"/>
            <w:vAlign w:val="center"/>
          </w:tcPr>
          <w:p w14:paraId="49F75D9C"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Transmission BW (RBs)</w:t>
            </w:r>
          </w:p>
        </w:tc>
        <w:tc>
          <w:tcPr>
            <w:tcW w:w="1004" w:type="dxa"/>
            <w:vAlign w:val="center"/>
          </w:tcPr>
          <w:p w14:paraId="31CF120C"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Mux Pattern</w:t>
            </w:r>
          </w:p>
        </w:tc>
        <w:tc>
          <w:tcPr>
            <w:tcW w:w="1400" w:type="dxa"/>
            <w:vAlign w:val="center"/>
          </w:tcPr>
          <w:p w14:paraId="6FF4312B"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CORESET0 Size (RBs)</w:t>
            </w:r>
          </w:p>
        </w:tc>
        <w:tc>
          <w:tcPr>
            <w:tcW w:w="1183" w:type="dxa"/>
            <w:vAlign w:val="center"/>
          </w:tcPr>
          <w:p w14:paraId="060F4486" w14:textId="77777777" w:rsidR="008E6269" w:rsidRPr="004222C1" w:rsidRDefault="008E6269" w:rsidP="008033D4">
            <w:pPr>
              <w:pStyle w:val="Caption"/>
              <w:keepNext/>
              <w:spacing w:before="0" w:after="0" w:line="240" w:lineRule="auto"/>
              <w:jc w:val="center"/>
              <w:rPr>
                <w:rFonts w:cs="Arial"/>
                <w:sz w:val="20"/>
                <w:szCs w:val="20"/>
              </w:rPr>
            </w:pPr>
            <w:r w:rsidRPr="004222C1">
              <w:rPr>
                <w:rFonts w:cs="Arial"/>
                <w:sz w:val="20"/>
                <w:szCs w:val="20"/>
              </w:rPr>
              <w:t>Maximum UL Allocation</w:t>
            </w:r>
          </w:p>
        </w:tc>
      </w:tr>
      <w:tr w:rsidR="006C41CC" w14:paraId="2D4095F2" w14:textId="77777777" w:rsidTr="00D5733A">
        <w:trPr>
          <w:jc w:val="center"/>
        </w:trPr>
        <w:tc>
          <w:tcPr>
            <w:tcW w:w="1256" w:type="dxa"/>
            <w:vMerge w:val="restart"/>
            <w:vAlign w:val="center"/>
          </w:tcPr>
          <w:p w14:paraId="1485F71B"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169" w:type="dxa"/>
            <w:vMerge w:val="restart"/>
            <w:vAlign w:val="center"/>
          </w:tcPr>
          <w:p w14:paraId="7265870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15 kHz</w:t>
            </w:r>
          </w:p>
        </w:tc>
        <w:tc>
          <w:tcPr>
            <w:tcW w:w="1039" w:type="dxa"/>
            <w:vMerge w:val="restart"/>
            <w:vAlign w:val="center"/>
          </w:tcPr>
          <w:p w14:paraId="3BF9BE3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40 MHz</w:t>
            </w:r>
          </w:p>
        </w:tc>
        <w:tc>
          <w:tcPr>
            <w:tcW w:w="1525" w:type="dxa"/>
            <w:vMerge w:val="restart"/>
            <w:vAlign w:val="center"/>
          </w:tcPr>
          <w:p w14:paraId="7702C69A"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216</w:t>
            </w:r>
          </w:p>
        </w:tc>
        <w:tc>
          <w:tcPr>
            <w:tcW w:w="1004" w:type="dxa"/>
            <w:vMerge w:val="restart"/>
            <w:vAlign w:val="center"/>
          </w:tcPr>
          <w:p w14:paraId="05CF882E" w14:textId="10514E5D"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05A7F46D"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1758B76B"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69%</w:t>
            </w:r>
          </w:p>
        </w:tc>
      </w:tr>
      <w:tr w:rsidR="006C41CC" w14:paraId="31E9A6BE" w14:textId="77777777" w:rsidTr="00D5733A">
        <w:trPr>
          <w:jc w:val="center"/>
        </w:trPr>
        <w:tc>
          <w:tcPr>
            <w:tcW w:w="1256" w:type="dxa"/>
            <w:vMerge/>
            <w:vAlign w:val="center"/>
          </w:tcPr>
          <w:p w14:paraId="145D8CB5"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63EBB0F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63F05921"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169834B0"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6829F46A"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2C92745B"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0986857A"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36%</w:t>
            </w:r>
          </w:p>
        </w:tc>
      </w:tr>
      <w:tr w:rsidR="006C41CC" w14:paraId="7AA3677F" w14:textId="77777777" w:rsidTr="00D5733A">
        <w:trPr>
          <w:jc w:val="center"/>
        </w:trPr>
        <w:tc>
          <w:tcPr>
            <w:tcW w:w="1256" w:type="dxa"/>
            <w:vMerge/>
            <w:vAlign w:val="center"/>
          </w:tcPr>
          <w:p w14:paraId="16414B7B"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61F965E1"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37C64B6B"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4D482A2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6486E62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2639206B"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96</w:t>
            </w:r>
          </w:p>
        </w:tc>
        <w:tc>
          <w:tcPr>
            <w:tcW w:w="1183" w:type="dxa"/>
            <w:vAlign w:val="center"/>
          </w:tcPr>
          <w:p w14:paraId="789D7B10"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639EA506" w14:textId="77777777" w:rsidTr="00D5733A">
        <w:trPr>
          <w:jc w:val="center"/>
        </w:trPr>
        <w:tc>
          <w:tcPr>
            <w:tcW w:w="1256" w:type="dxa"/>
            <w:vMerge/>
            <w:vAlign w:val="center"/>
          </w:tcPr>
          <w:p w14:paraId="76BC5AE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restart"/>
            <w:vAlign w:val="center"/>
          </w:tcPr>
          <w:p w14:paraId="32F90479"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30 kHz</w:t>
            </w:r>
          </w:p>
        </w:tc>
        <w:tc>
          <w:tcPr>
            <w:tcW w:w="1039" w:type="dxa"/>
            <w:vMerge w:val="restart"/>
            <w:vAlign w:val="center"/>
          </w:tcPr>
          <w:p w14:paraId="162D6FCD"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40 MHz</w:t>
            </w:r>
          </w:p>
        </w:tc>
        <w:tc>
          <w:tcPr>
            <w:tcW w:w="1525" w:type="dxa"/>
            <w:vMerge w:val="restart"/>
            <w:vAlign w:val="center"/>
          </w:tcPr>
          <w:p w14:paraId="6826B6C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106</w:t>
            </w:r>
          </w:p>
        </w:tc>
        <w:tc>
          <w:tcPr>
            <w:tcW w:w="1004" w:type="dxa"/>
            <w:vMerge w:val="restart"/>
            <w:vAlign w:val="center"/>
          </w:tcPr>
          <w:p w14:paraId="303EF00C"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798BCA9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02E7A840" w14:textId="77777777" w:rsidR="008E6269" w:rsidRPr="004222C1" w:rsidRDefault="008E6269" w:rsidP="008033D4">
            <w:pPr>
              <w:pStyle w:val="Caption"/>
              <w:keepNext/>
              <w:spacing w:before="0" w:after="0" w:line="240" w:lineRule="auto"/>
              <w:jc w:val="center"/>
              <w:rPr>
                <w:rFonts w:cs="Arial"/>
                <w:b w:val="0"/>
                <w:bCs/>
                <w:sz w:val="20"/>
                <w:szCs w:val="20"/>
              </w:rPr>
            </w:pPr>
            <w:r w:rsidRPr="00D5573C">
              <w:rPr>
                <w:rFonts w:cs="Arial"/>
                <w:b w:val="0"/>
                <w:bCs/>
                <w:color w:val="00B050"/>
                <w:sz w:val="20"/>
                <w:szCs w:val="20"/>
              </w:rPr>
              <w:t>45%</w:t>
            </w:r>
          </w:p>
        </w:tc>
      </w:tr>
      <w:tr w:rsidR="006C41CC" w14:paraId="29B02DCF" w14:textId="77777777" w:rsidTr="00D5733A">
        <w:trPr>
          <w:jc w:val="center"/>
        </w:trPr>
        <w:tc>
          <w:tcPr>
            <w:tcW w:w="1256" w:type="dxa"/>
            <w:vMerge/>
            <w:vAlign w:val="center"/>
          </w:tcPr>
          <w:p w14:paraId="6617930A"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3170CE07"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4F9CA035"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46BAFDE6"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0EAB48EF"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5C19AD46"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601935F6"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4CC6EBA6" w14:textId="77777777" w:rsidTr="00D5733A">
        <w:trPr>
          <w:jc w:val="center"/>
        </w:trPr>
        <w:tc>
          <w:tcPr>
            <w:tcW w:w="1256" w:type="dxa"/>
            <w:vMerge/>
            <w:vAlign w:val="center"/>
          </w:tcPr>
          <w:p w14:paraId="7BA0D3B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63E7E45B"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restart"/>
            <w:vAlign w:val="center"/>
          </w:tcPr>
          <w:p w14:paraId="52306A13"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100 MHz</w:t>
            </w:r>
          </w:p>
        </w:tc>
        <w:tc>
          <w:tcPr>
            <w:tcW w:w="1525" w:type="dxa"/>
            <w:vMerge w:val="restart"/>
            <w:vAlign w:val="center"/>
          </w:tcPr>
          <w:p w14:paraId="26622DC6"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273</w:t>
            </w:r>
          </w:p>
        </w:tc>
        <w:tc>
          <w:tcPr>
            <w:tcW w:w="1004" w:type="dxa"/>
            <w:vMerge w:val="restart"/>
            <w:vAlign w:val="center"/>
          </w:tcPr>
          <w:p w14:paraId="1F82DABA"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7A0DC438"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7D2D9073"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79%</w:t>
            </w:r>
          </w:p>
        </w:tc>
      </w:tr>
      <w:tr w:rsidR="006C41CC" w14:paraId="4FBF7E9A" w14:textId="77777777" w:rsidTr="00D5733A">
        <w:trPr>
          <w:jc w:val="center"/>
        </w:trPr>
        <w:tc>
          <w:tcPr>
            <w:tcW w:w="1256" w:type="dxa"/>
            <w:vMerge/>
            <w:vAlign w:val="center"/>
          </w:tcPr>
          <w:p w14:paraId="4F02E28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3CBA0A3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48260B3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7689EC4A"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243AB78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7B9EF454"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1C102F42"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61%</w:t>
            </w:r>
          </w:p>
        </w:tc>
      </w:tr>
      <w:tr w:rsidR="006C41CC" w14:paraId="1243070E" w14:textId="77777777" w:rsidTr="00D5733A">
        <w:trPr>
          <w:jc w:val="center"/>
        </w:trPr>
        <w:tc>
          <w:tcPr>
            <w:tcW w:w="1256" w:type="dxa"/>
            <w:vMerge w:val="restart"/>
            <w:vAlign w:val="center"/>
          </w:tcPr>
          <w:p w14:paraId="5924F5D0"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w:t>
            </w:r>
          </w:p>
        </w:tc>
        <w:tc>
          <w:tcPr>
            <w:tcW w:w="1169" w:type="dxa"/>
            <w:vMerge w:val="restart"/>
            <w:vAlign w:val="center"/>
          </w:tcPr>
          <w:p w14:paraId="79F705F3"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120 kHz</w:t>
            </w:r>
          </w:p>
        </w:tc>
        <w:tc>
          <w:tcPr>
            <w:tcW w:w="1039" w:type="dxa"/>
            <w:vMerge w:val="restart"/>
            <w:vAlign w:val="center"/>
          </w:tcPr>
          <w:p w14:paraId="14AC2FDE"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100 MHz</w:t>
            </w:r>
          </w:p>
        </w:tc>
        <w:tc>
          <w:tcPr>
            <w:tcW w:w="1525" w:type="dxa"/>
            <w:vMerge w:val="restart"/>
            <w:vAlign w:val="center"/>
          </w:tcPr>
          <w:p w14:paraId="2CB5236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66</w:t>
            </w:r>
          </w:p>
        </w:tc>
        <w:tc>
          <w:tcPr>
            <w:tcW w:w="1004" w:type="dxa"/>
            <w:vMerge w:val="restart"/>
            <w:vAlign w:val="center"/>
          </w:tcPr>
          <w:p w14:paraId="3C1BF26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172EED94"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7E5CF4EB"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0D3A29CF" w14:textId="77777777" w:rsidTr="00D5733A">
        <w:trPr>
          <w:jc w:val="center"/>
        </w:trPr>
        <w:tc>
          <w:tcPr>
            <w:tcW w:w="1256" w:type="dxa"/>
            <w:vMerge/>
            <w:vAlign w:val="center"/>
          </w:tcPr>
          <w:p w14:paraId="064F6F65"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30713049"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01563C0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6448EA3F"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5C4F64B4"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6CD72F52"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163F4624"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437ED763" w14:textId="77777777" w:rsidTr="00D5733A">
        <w:trPr>
          <w:jc w:val="center"/>
        </w:trPr>
        <w:tc>
          <w:tcPr>
            <w:tcW w:w="1256" w:type="dxa"/>
            <w:vMerge/>
            <w:vAlign w:val="center"/>
          </w:tcPr>
          <w:p w14:paraId="0ADFAD65"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420BC280"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583174E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7C5F8C6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restart"/>
            <w:vAlign w:val="center"/>
          </w:tcPr>
          <w:p w14:paraId="789B13C0"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w:t>
            </w:r>
          </w:p>
        </w:tc>
        <w:tc>
          <w:tcPr>
            <w:tcW w:w="1400" w:type="dxa"/>
            <w:vAlign w:val="center"/>
          </w:tcPr>
          <w:p w14:paraId="7051AB2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081FE17F"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0DE2881E" w14:textId="77777777" w:rsidTr="00D5733A">
        <w:trPr>
          <w:jc w:val="center"/>
        </w:trPr>
        <w:tc>
          <w:tcPr>
            <w:tcW w:w="1256" w:type="dxa"/>
            <w:vMerge/>
            <w:vAlign w:val="center"/>
          </w:tcPr>
          <w:p w14:paraId="73220142"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7A97372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162B24CA"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102F2297"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7B4EC016"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172C05E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0EEB36C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25A0204E" w14:textId="77777777" w:rsidTr="00D5733A">
        <w:trPr>
          <w:jc w:val="center"/>
        </w:trPr>
        <w:tc>
          <w:tcPr>
            <w:tcW w:w="1256" w:type="dxa"/>
            <w:vMerge/>
            <w:vAlign w:val="center"/>
          </w:tcPr>
          <w:p w14:paraId="7202A16F"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69F806C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restart"/>
            <w:vAlign w:val="center"/>
          </w:tcPr>
          <w:p w14:paraId="6B29BA7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200 MHz</w:t>
            </w:r>
          </w:p>
        </w:tc>
        <w:tc>
          <w:tcPr>
            <w:tcW w:w="1525" w:type="dxa"/>
            <w:vMerge w:val="restart"/>
            <w:vAlign w:val="center"/>
          </w:tcPr>
          <w:p w14:paraId="3AE358D3"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132</w:t>
            </w:r>
          </w:p>
        </w:tc>
        <w:tc>
          <w:tcPr>
            <w:tcW w:w="1004" w:type="dxa"/>
            <w:vMerge w:val="restart"/>
            <w:vAlign w:val="center"/>
          </w:tcPr>
          <w:p w14:paraId="3ED3583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4CEC0D59"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16C8E13B" w14:textId="77777777" w:rsidR="008E6269" w:rsidRPr="004222C1" w:rsidRDefault="008E6269" w:rsidP="008033D4">
            <w:pPr>
              <w:pStyle w:val="Caption"/>
              <w:keepNext/>
              <w:spacing w:before="0" w:after="0" w:line="240" w:lineRule="auto"/>
              <w:jc w:val="center"/>
              <w:rPr>
                <w:rFonts w:cs="Arial"/>
                <w:b w:val="0"/>
                <w:bCs/>
                <w:sz w:val="20"/>
                <w:szCs w:val="20"/>
              </w:rPr>
            </w:pPr>
            <w:r w:rsidRPr="00713E49">
              <w:rPr>
                <w:rFonts w:cs="Arial"/>
                <w:b w:val="0"/>
                <w:bCs/>
                <w:color w:val="00B050"/>
                <w:sz w:val="20"/>
                <w:szCs w:val="20"/>
              </w:rPr>
              <w:t>26%</w:t>
            </w:r>
          </w:p>
        </w:tc>
      </w:tr>
      <w:tr w:rsidR="006C41CC" w14:paraId="0EEF14DB" w14:textId="77777777" w:rsidTr="00D5733A">
        <w:trPr>
          <w:trHeight w:val="269"/>
          <w:jc w:val="center"/>
        </w:trPr>
        <w:tc>
          <w:tcPr>
            <w:tcW w:w="1256" w:type="dxa"/>
            <w:vMerge/>
            <w:vAlign w:val="center"/>
          </w:tcPr>
          <w:p w14:paraId="3865440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1FEEF3F8"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2D123282"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2E286EA8"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6029FD2B"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45E2482B" w14:textId="77777777" w:rsidR="008E6269" w:rsidRPr="004222C1" w:rsidRDefault="008E6269" w:rsidP="008033D4">
            <w:pPr>
              <w:pStyle w:val="Caption"/>
              <w:keepNext/>
              <w:spacing w:before="0" w:after="0" w:line="240" w:lineRule="auto"/>
              <w:jc w:val="center"/>
              <w:rPr>
                <w:rFonts w:cs="Arial"/>
                <w:b w:val="0"/>
                <w:bCs/>
                <w:sz w:val="20"/>
                <w:szCs w:val="20"/>
              </w:rPr>
            </w:pPr>
            <w:r>
              <w:rPr>
                <w:rFonts w:cs="Arial"/>
                <w:b w:val="0"/>
                <w:bCs/>
                <w:sz w:val="20"/>
                <w:szCs w:val="20"/>
              </w:rPr>
              <w:t>48</w:t>
            </w:r>
          </w:p>
        </w:tc>
        <w:tc>
          <w:tcPr>
            <w:tcW w:w="1183" w:type="dxa"/>
            <w:vAlign w:val="center"/>
          </w:tcPr>
          <w:p w14:paraId="14F7628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2437B1E5" w14:textId="77777777" w:rsidTr="00D5733A">
        <w:trPr>
          <w:jc w:val="center"/>
        </w:trPr>
        <w:tc>
          <w:tcPr>
            <w:tcW w:w="1256" w:type="dxa"/>
            <w:vMerge/>
            <w:vAlign w:val="center"/>
          </w:tcPr>
          <w:p w14:paraId="153CD73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5A19DF27"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2D92CA8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736FDA47"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restart"/>
            <w:vAlign w:val="center"/>
          </w:tcPr>
          <w:p w14:paraId="2515DC11"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w:t>
            </w:r>
          </w:p>
        </w:tc>
        <w:tc>
          <w:tcPr>
            <w:tcW w:w="1400" w:type="dxa"/>
            <w:vAlign w:val="center"/>
          </w:tcPr>
          <w:p w14:paraId="52A83ED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1B7F563C"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6DAD0FAA" w14:textId="77777777" w:rsidTr="00D5733A">
        <w:trPr>
          <w:jc w:val="center"/>
        </w:trPr>
        <w:tc>
          <w:tcPr>
            <w:tcW w:w="1256" w:type="dxa"/>
            <w:vMerge/>
            <w:vAlign w:val="center"/>
          </w:tcPr>
          <w:p w14:paraId="7085C1C4"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56678180"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5BDFEAB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383D02F7"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17A7A150"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14E43CE7"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13011E4C"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color w:val="FF0000"/>
                <w:sz w:val="20"/>
                <w:szCs w:val="20"/>
              </w:rPr>
              <w:t>0%</w:t>
            </w:r>
          </w:p>
        </w:tc>
      </w:tr>
      <w:tr w:rsidR="006C41CC" w14:paraId="085C4375" w14:textId="77777777" w:rsidTr="00D5733A">
        <w:trPr>
          <w:jc w:val="center"/>
        </w:trPr>
        <w:tc>
          <w:tcPr>
            <w:tcW w:w="1256" w:type="dxa"/>
            <w:vMerge/>
            <w:vAlign w:val="center"/>
          </w:tcPr>
          <w:p w14:paraId="271028D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31FC7902"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restart"/>
            <w:vAlign w:val="center"/>
          </w:tcPr>
          <w:p w14:paraId="3DBB099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400 MHz</w:t>
            </w:r>
          </w:p>
        </w:tc>
        <w:tc>
          <w:tcPr>
            <w:tcW w:w="1525" w:type="dxa"/>
            <w:vMerge w:val="restart"/>
            <w:vAlign w:val="center"/>
          </w:tcPr>
          <w:p w14:paraId="4B6B7A63"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264</w:t>
            </w:r>
          </w:p>
        </w:tc>
        <w:tc>
          <w:tcPr>
            <w:tcW w:w="1004" w:type="dxa"/>
            <w:vMerge w:val="restart"/>
            <w:vAlign w:val="center"/>
          </w:tcPr>
          <w:p w14:paraId="7542F8F6"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1</w:t>
            </w:r>
          </w:p>
        </w:tc>
        <w:tc>
          <w:tcPr>
            <w:tcW w:w="1400" w:type="dxa"/>
            <w:vAlign w:val="center"/>
          </w:tcPr>
          <w:p w14:paraId="2555DCC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6A033E84"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63%</w:t>
            </w:r>
          </w:p>
        </w:tc>
      </w:tr>
      <w:tr w:rsidR="006C41CC" w14:paraId="46B799AF" w14:textId="77777777" w:rsidTr="00D5733A">
        <w:trPr>
          <w:jc w:val="center"/>
        </w:trPr>
        <w:tc>
          <w:tcPr>
            <w:tcW w:w="1256" w:type="dxa"/>
            <w:vMerge/>
            <w:vAlign w:val="center"/>
          </w:tcPr>
          <w:p w14:paraId="345F6456"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4A9911C1"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6D4B0322"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71C43060"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0E80CAFD"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7DF805FA"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2F0A3F42"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34%</w:t>
            </w:r>
          </w:p>
        </w:tc>
      </w:tr>
      <w:tr w:rsidR="006C41CC" w14:paraId="4EE92626" w14:textId="77777777" w:rsidTr="00D5733A">
        <w:trPr>
          <w:jc w:val="center"/>
        </w:trPr>
        <w:tc>
          <w:tcPr>
            <w:tcW w:w="1256" w:type="dxa"/>
            <w:vMerge/>
            <w:vAlign w:val="center"/>
          </w:tcPr>
          <w:p w14:paraId="5064E21E"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49437FC6"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3D89B7D4"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675E253E"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restart"/>
            <w:vAlign w:val="center"/>
          </w:tcPr>
          <w:p w14:paraId="21C7A493"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w:t>
            </w:r>
          </w:p>
        </w:tc>
        <w:tc>
          <w:tcPr>
            <w:tcW w:w="1400" w:type="dxa"/>
            <w:vAlign w:val="center"/>
          </w:tcPr>
          <w:p w14:paraId="03016835"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24</w:t>
            </w:r>
          </w:p>
        </w:tc>
        <w:tc>
          <w:tcPr>
            <w:tcW w:w="1183" w:type="dxa"/>
            <w:vAlign w:val="center"/>
          </w:tcPr>
          <w:p w14:paraId="680773B2" w14:textId="77777777" w:rsidR="008E6269" w:rsidRPr="00713E49" w:rsidRDefault="008E6269" w:rsidP="008033D4">
            <w:pPr>
              <w:pStyle w:val="Caption"/>
              <w:keepNext/>
              <w:spacing w:before="0" w:after="0" w:line="240" w:lineRule="auto"/>
              <w:jc w:val="center"/>
              <w:rPr>
                <w:rFonts w:cs="Arial"/>
                <w:b w:val="0"/>
                <w:bCs/>
                <w:color w:val="00B050"/>
                <w:sz w:val="20"/>
                <w:szCs w:val="20"/>
              </w:rPr>
            </w:pPr>
            <w:r w:rsidRPr="00713E49">
              <w:rPr>
                <w:rFonts w:cs="Arial"/>
                <w:b w:val="0"/>
                <w:bCs/>
                <w:color w:val="00B050"/>
                <w:sz w:val="20"/>
                <w:szCs w:val="20"/>
              </w:rPr>
              <w:t>45%</w:t>
            </w:r>
          </w:p>
        </w:tc>
      </w:tr>
      <w:tr w:rsidR="006C41CC" w14:paraId="01E8C6A5" w14:textId="77777777" w:rsidTr="00F364F6">
        <w:trPr>
          <w:jc w:val="center"/>
        </w:trPr>
        <w:tc>
          <w:tcPr>
            <w:tcW w:w="1256" w:type="dxa"/>
            <w:vMerge/>
            <w:vAlign w:val="center"/>
          </w:tcPr>
          <w:p w14:paraId="55088988"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169" w:type="dxa"/>
            <w:vMerge/>
            <w:vAlign w:val="center"/>
          </w:tcPr>
          <w:p w14:paraId="43910E68"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39" w:type="dxa"/>
            <w:vMerge/>
            <w:vAlign w:val="center"/>
          </w:tcPr>
          <w:p w14:paraId="2EE29595"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525" w:type="dxa"/>
            <w:vMerge/>
            <w:vAlign w:val="center"/>
          </w:tcPr>
          <w:p w14:paraId="45913AE3"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004" w:type="dxa"/>
            <w:vMerge/>
            <w:vAlign w:val="center"/>
          </w:tcPr>
          <w:p w14:paraId="6F8CF46C" w14:textId="77777777" w:rsidR="008E6269" w:rsidRPr="004222C1" w:rsidRDefault="008E6269" w:rsidP="008033D4">
            <w:pPr>
              <w:pStyle w:val="Caption"/>
              <w:keepNext/>
              <w:spacing w:before="0" w:after="0" w:line="240" w:lineRule="auto"/>
              <w:jc w:val="center"/>
              <w:rPr>
                <w:rFonts w:cs="Arial"/>
                <w:b w:val="0"/>
                <w:bCs/>
                <w:sz w:val="20"/>
                <w:szCs w:val="20"/>
              </w:rPr>
            </w:pPr>
          </w:p>
        </w:tc>
        <w:tc>
          <w:tcPr>
            <w:tcW w:w="1400" w:type="dxa"/>
            <w:vAlign w:val="center"/>
          </w:tcPr>
          <w:p w14:paraId="0D89CAE6" w14:textId="77777777" w:rsidR="008E6269" w:rsidRPr="004222C1" w:rsidRDefault="008E6269" w:rsidP="008033D4">
            <w:pPr>
              <w:pStyle w:val="Caption"/>
              <w:keepNext/>
              <w:spacing w:before="0" w:after="0" w:line="240" w:lineRule="auto"/>
              <w:jc w:val="center"/>
              <w:rPr>
                <w:rFonts w:cs="Arial"/>
                <w:b w:val="0"/>
                <w:bCs/>
                <w:sz w:val="20"/>
                <w:szCs w:val="20"/>
              </w:rPr>
            </w:pPr>
            <w:r w:rsidRPr="004222C1">
              <w:rPr>
                <w:rFonts w:cs="Arial"/>
                <w:b w:val="0"/>
                <w:bCs/>
                <w:sz w:val="20"/>
                <w:szCs w:val="20"/>
              </w:rPr>
              <w:t>48</w:t>
            </w:r>
          </w:p>
        </w:tc>
        <w:tc>
          <w:tcPr>
            <w:tcW w:w="1183" w:type="dxa"/>
            <w:vAlign w:val="center"/>
          </w:tcPr>
          <w:p w14:paraId="7A39902D" w14:textId="77777777" w:rsidR="008E6269" w:rsidRPr="00713E49" w:rsidRDefault="008E6269" w:rsidP="008033D4">
            <w:pPr>
              <w:pStyle w:val="Caption"/>
              <w:keepNext/>
              <w:spacing w:before="0" w:after="0" w:line="240" w:lineRule="auto"/>
              <w:jc w:val="center"/>
              <w:rPr>
                <w:rFonts w:cs="Arial"/>
                <w:b w:val="0"/>
                <w:bCs/>
                <w:sz w:val="20"/>
                <w:szCs w:val="20"/>
              </w:rPr>
            </w:pPr>
            <w:r w:rsidRPr="00713E49">
              <w:rPr>
                <w:rFonts w:cs="Arial"/>
                <w:b w:val="0"/>
                <w:bCs/>
                <w:color w:val="FFC000"/>
                <w:sz w:val="20"/>
                <w:szCs w:val="20"/>
              </w:rPr>
              <w:t>8%</w:t>
            </w:r>
          </w:p>
        </w:tc>
      </w:tr>
    </w:tbl>
    <w:p w14:paraId="42A88F90" w14:textId="77777777" w:rsidR="008E6269" w:rsidRDefault="008E6269" w:rsidP="008E6269">
      <w:pPr>
        <w:ind w:left="360"/>
        <w:rPr>
          <w:lang w:val="en-GB" w:eastAsia="ja-JP"/>
        </w:rPr>
      </w:pPr>
    </w:p>
    <w:p w14:paraId="470DF626" w14:textId="3CB5A42D" w:rsidR="008E6269" w:rsidRPr="00311ABB" w:rsidRDefault="008E6269" w:rsidP="009E3943">
      <w:pPr>
        <w:pStyle w:val="Observation"/>
      </w:pPr>
      <w:bookmarkStart w:id="9" w:name="_Toc159243982"/>
      <w:r>
        <w:rPr>
          <w:lang w:val="en-GB"/>
        </w:rPr>
        <w:t xml:space="preserve">For both legacy and SBFD-aware UEs in IDLE mode, DL reception (i.e., during initial access) in SBFD slots/symbols (configured as D-U-D) occurs only in one of the </w:t>
      </w:r>
      <w:r w:rsidR="00EE5F54">
        <w:rPr>
          <w:lang w:val="en-GB"/>
        </w:rPr>
        <w:t>DL</w:t>
      </w:r>
      <w:r>
        <w:rPr>
          <w:lang w:val="en-GB"/>
        </w:rPr>
        <w:t xml:space="preserve"> subbands. Assuming a certain minimum channel bandwidth with a symmetric D-U-D configuration in either FR1 or FR2, it is feasible to </w:t>
      </w:r>
      <w:r w:rsidRPr="00B67EFF">
        <w:t>configure</w:t>
      </w:r>
      <w:r>
        <w:rPr>
          <w:lang w:val="en-GB"/>
        </w:rPr>
        <w:t xml:space="preserve"> slots/symbols for SBFD operation such that CORESET0 </w:t>
      </w:r>
      <w:r w:rsidR="00EE5F54">
        <w:rPr>
          <w:lang w:val="en-GB"/>
        </w:rPr>
        <w:t>is comprised</w:t>
      </w:r>
      <w:r>
        <w:rPr>
          <w:lang w:val="en-GB"/>
        </w:rPr>
        <w:t xml:space="preserve"> within a single </w:t>
      </w:r>
      <w:r w:rsidR="00EE5F54">
        <w:rPr>
          <w:lang w:val="en-GB"/>
        </w:rPr>
        <w:t>DL</w:t>
      </w:r>
      <w:r>
        <w:rPr>
          <w:lang w:val="en-GB"/>
        </w:rPr>
        <w:t xml:space="preserve"> subband. For 48 RB CORESET0, 40/100/400 MHz channel bandwidth is required for 15/30/120 kHz SCS.</w:t>
      </w:r>
      <w:bookmarkEnd w:id="9"/>
    </w:p>
    <w:p w14:paraId="35EB090D" w14:textId="1A380BEC" w:rsidR="00F63950" w:rsidRDefault="00230D18" w:rsidP="00F63950">
      <w:pPr>
        <w:pStyle w:val="Heading2"/>
      </w:pPr>
      <w:bookmarkStart w:id="10" w:name="_Ref157778727"/>
      <w:bookmarkEnd w:id="7"/>
      <w:r>
        <w:t>2.</w:t>
      </w:r>
      <w:r w:rsidR="000F7775">
        <w:t>2</w:t>
      </w:r>
      <w:r>
        <w:tab/>
      </w:r>
      <w:r w:rsidR="00266A84">
        <w:t>Semi-static Indication of Time location of UL subband</w:t>
      </w:r>
      <w:bookmarkEnd w:id="10"/>
    </w:p>
    <w:p w14:paraId="145649D9" w14:textId="576756A7" w:rsidR="009E3943" w:rsidRDefault="009E3943" w:rsidP="005C5BF5">
      <w:pPr>
        <w:jc w:val="both"/>
        <w:rPr>
          <w:lang w:eastAsia="ja-JP"/>
        </w:rPr>
      </w:pPr>
      <w:r>
        <w:rPr>
          <w:lang w:eastAsia="ja-JP"/>
        </w:rPr>
        <w:t>The first objective of the WID is to “</w:t>
      </w:r>
      <w:r w:rsidRPr="009E3943">
        <w:rPr>
          <w:lang w:eastAsia="ja-JP"/>
        </w:rPr>
        <w:t>Specify semi-static indication of time location of SBFD subbands to UEs in RRC_CONNECTED mode</w:t>
      </w:r>
      <w:r>
        <w:rPr>
          <w:lang w:eastAsia="ja-JP"/>
        </w:rPr>
        <w:t xml:space="preserve">.” </w:t>
      </w:r>
      <w:r w:rsidR="00705E24">
        <w:rPr>
          <w:lang w:eastAsia="ja-JP"/>
        </w:rPr>
        <w:t>Additionally, t</w:t>
      </w:r>
      <w:r w:rsidR="005C5BF5">
        <w:rPr>
          <w:lang w:eastAsia="ja-JP"/>
        </w:rPr>
        <w:t>he following statement in the TR 38.858 states that subband time locations are semi-statically configured within a period:</w:t>
      </w:r>
    </w:p>
    <w:tbl>
      <w:tblPr>
        <w:tblStyle w:val="TableGrid"/>
        <w:tblW w:w="0" w:type="auto"/>
        <w:tblLook w:val="04A0" w:firstRow="1" w:lastRow="0" w:firstColumn="1" w:lastColumn="0" w:noHBand="0" w:noVBand="1"/>
      </w:tblPr>
      <w:tblGrid>
        <w:gridCol w:w="9629"/>
      </w:tblGrid>
      <w:tr w:rsidR="009E3943" w14:paraId="5004094C" w14:textId="77777777" w:rsidTr="009E3943">
        <w:tc>
          <w:tcPr>
            <w:tcW w:w="9629" w:type="dxa"/>
          </w:tcPr>
          <w:p w14:paraId="2C25820D" w14:textId="77777777" w:rsidR="00705E24" w:rsidRDefault="00705E24" w:rsidP="00705E24">
            <w:pPr>
              <w:jc w:val="both"/>
              <w:rPr>
                <w:rFonts w:ascii="Times" w:eastAsia="Malgun Gothic" w:hAnsi="Times"/>
                <w:lang w:eastAsia="x-none"/>
              </w:rPr>
            </w:pPr>
            <w:r>
              <w:rPr>
                <w:rFonts w:ascii="Times" w:eastAsia="Malgun Gothic" w:hAnsi="Times"/>
                <w:lang w:eastAsia="x-none"/>
              </w:rPr>
              <w:t>TR 38.858:</w:t>
            </w:r>
          </w:p>
          <w:p w14:paraId="35E291E7" w14:textId="57C498C4" w:rsidR="009E3943" w:rsidRPr="00B67EFF" w:rsidRDefault="009E3943" w:rsidP="00705E24">
            <w:pPr>
              <w:jc w:val="both"/>
              <w:rPr>
                <w:rFonts w:ascii="Times" w:eastAsia="Malgun Gothic" w:hAnsi="Times"/>
                <w:lang w:eastAsia="x-none"/>
              </w:rPr>
            </w:pPr>
            <w:r w:rsidRPr="00B67EFF">
              <w:rPr>
                <w:rFonts w:ascii="Times" w:eastAsia="Batang" w:hAnsi="Times" w:cs="Times New Roman"/>
                <w:szCs w:val="20"/>
                <w:lang w:eastAsia="ko-KR"/>
              </w:rPr>
              <w:t>For semi-static configuration of subband time locations for SBFD operation, it is agreed that explicit configuration of SBFD subband time locations within a period is the baseline.</w:t>
            </w:r>
          </w:p>
        </w:tc>
      </w:tr>
    </w:tbl>
    <w:p w14:paraId="09934321" w14:textId="21873514" w:rsidR="005C5BF5" w:rsidRDefault="005C5BF5" w:rsidP="00B67EFF">
      <w:pPr>
        <w:spacing w:before="240"/>
        <w:jc w:val="both"/>
        <w:rPr>
          <w:lang w:eastAsia="ja-JP"/>
        </w:rPr>
      </w:pPr>
      <w:r>
        <w:rPr>
          <w:lang w:eastAsia="ja-JP"/>
        </w:rPr>
        <w:t xml:space="preserve">In our view it is natural that the period is defined by the parameter </w:t>
      </w:r>
      <w:r w:rsidRPr="007F140D">
        <w:rPr>
          <w:i/>
          <w:iCs/>
          <w:lang w:eastAsia="ja-JP"/>
        </w:rPr>
        <w:t>dl-UL-</w:t>
      </w:r>
      <w:proofErr w:type="spellStart"/>
      <w:r w:rsidRPr="007F140D">
        <w:rPr>
          <w:i/>
          <w:iCs/>
          <w:lang w:eastAsia="ja-JP"/>
        </w:rPr>
        <w:t>Transmission</w:t>
      </w:r>
      <w:r w:rsidR="00593C1B">
        <w:rPr>
          <w:i/>
          <w:iCs/>
          <w:lang w:eastAsia="ja-JP"/>
        </w:rPr>
        <w:t>P</w:t>
      </w:r>
      <w:r w:rsidRPr="007F140D">
        <w:rPr>
          <w:i/>
          <w:iCs/>
          <w:lang w:eastAsia="ja-JP"/>
        </w:rPr>
        <w:t>eriodicity</w:t>
      </w:r>
      <w:proofErr w:type="spellEnd"/>
      <w:r>
        <w:rPr>
          <w:lang w:eastAsia="ja-JP"/>
        </w:rPr>
        <w:t xml:space="preserve"> within the </w:t>
      </w:r>
      <w:r w:rsidRPr="007F140D">
        <w:rPr>
          <w:i/>
          <w:iCs/>
          <w:lang w:eastAsia="ja-JP"/>
        </w:rPr>
        <w:t>TDD-UL-DL-</w:t>
      </w:r>
      <w:proofErr w:type="spellStart"/>
      <w:r w:rsidRPr="007F140D">
        <w:rPr>
          <w:i/>
          <w:iCs/>
          <w:lang w:eastAsia="ja-JP"/>
        </w:rPr>
        <w:t>ConfigCommon</w:t>
      </w:r>
      <w:proofErr w:type="spellEnd"/>
      <w:r>
        <w:rPr>
          <w:lang w:eastAsia="ja-JP"/>
        </w:rPr>
        <w:t xml:space="preserve"> IE:</w:t>
      </w:r>
    </w:p>
    <w:p w14:paraId="7182EFB9"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TDD-UL-DL-ConfigCommon ::=          </w:t>
      </w:r>
      <w:r w:rsidRPr="004A0C3E">
        <w:rPr>
          <w:rFonts w:ascii="Courier New" w:eastAsia="Times New Roman" w:hAnsi="Courier New" w:cs="Times New Roman"/>
          <w:noProof/>
          <w:color w:val="993366"/>
          <w:sz w:val="16"/>
          <w:szCs w:val="20"/>
          <w:lang w:val="en-GB" w:eastAsia="en-GB"/>
        </w:rPr>
        <w:t>SEQUENCE</w:t>
      </w:r>
      <w:r w:rsidRPr="004A0C3E">
        <w:rPr>
          <w:rFonts w:ascii="Courier New" w:eastAsia="Times New Roman" w:hAnsi="Courier New" w:cs="Times New Roman"/>
          <w:noProof/>
          <w:sz w:val="16"/>
          <w:szCs w:val="20"/>
          <w:lang w:val="en-GB" w:eastAsia="en-GB"/>
        </w:rPr>
        <w:t xml:space="preserve"> {</w:t>
      </w:r>
    </w:p>
    <w:p w14:paraId="473388E3"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referenceSubcarrierSpacing          SubcarrierSpacing,</w:t>
      </w:r>
    </w:p>
    <w:p w14:paraId="1F174FE6"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pattern1                            TDD-UL-DL-Pattern,</w:t>
      </w:r>
    </w:p>
    <w:p w14:paraId="5C60DF74"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color w:val="808080"/>
          <w:sz w:val="16"/>
          <w:szCs w:val="20"/>
          <w:lang w:val="en-GB" w:eastAsia="en-GB"/>
        </w:rPr>
      </w:pPr>
      <w:r w:rsidRPr="004A0C3E">
        <w:rPr>
          <w:rFonts w:ascii="Courier New" w:eastAsia="Times New Roman" w:hAnsi="Courier New" w:cs="Times New Roman"/>
          <w:noProof/>
          <w:sz w:val="16"/>
          <w:szCs w:val="20"/>
          <w:lang w:val="en-GB" w:eastAsia="en-GB"/>
        </w:rPr>
        <w:t xml:space="preserve">    pattern2                            TDD-UL-DL-Pattern                             </w:t>
      </w:r>
      <w:r w:rsidRPr="004A0C3E">
        <w:rPr>
          <w:rFonts w:ascii="Courier New" w:eastAsia="Times New Roman" w:hAnsi="Courier New" w:cs="Times New Roman"/>
          <w:noProof/>
          <w:color w:val="993366"/>
          <w:sz w:val="16"/>
          <w:szCs w:val="20"/>
          <w:lang w:val="en-GB" w:eastAsia="en-GB"/>
        </w:rPr>
        <w:t>OPTIONAL</w:t>
      </w: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color w:val="808080"/>
          <w:sz w:val="16"/>
          <w:szCs w:val="20"/>
          <w:lang w:val="en-GB" w:eastAsia="en-GB"/>
        </w:rPr>
        <w:t>-- Need R</w:t>
      </w:r>
    </w:p>
    <w:p w14:paraId="0B694820"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lastRenderedPageBreak/>
        <w:t xml:space="preserve">    ...</w:t>
      </w:r>
    </w:p>
    <w:p w14:paraId="6100A513"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w:t>
      </w:r>
    </w:p>
    <w:p w14:paraId="70C9C59B"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p>
    <w:p w14:paraId="07AEC73E"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TDD-UL-DL-Pattern ::=               </w:t>
      </w:r>
      <w:r w:rsidRPr="004A0C3E">
        <w:rPr>
          <w:rFonts w:ascii="Courier New" w:eastAsia="Times New Roman" w:hAnsi="Courier New" w:cs="Times New Roman"/>
          <w:noProof/>
          <w:color w:val="993366"/>
          <w:sz w:val="16"/>
          <w:szCs w:val="20"/>
          <w:lang w:val="en-GB" w:eastAsia="en-GB"/>
        </w:rPr>
        <w:t>SEQUENCE</w:t>
      </w:r>
      <w:r w:rsidRPr="004A0C3E">
        <w:rPr>
          <w:rFonts w:ascii="Courier New" w:eastAsia="Times New Roman" w:hAnsi="Courier New" w:cs="Times New Roman"/>
          <w:noProof/>
          <w:sz w:val="16"/>
          <w:szCs w:val="20"/>
          <w:lang w:val="en-GB" w:eastAsia="en-GB"/>
        </w:rPr>
        <w:t xml:space="preserve"> {</w:t>
      </w:r>
    </w:p>
    <w:p w14:paraId="571E59C8"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sz w:val="16"/>
          <w:szCs w:val="20"/>
          <w:highlight w:val="yellow"/>
          <w:lang w:val="en-GB" w:eastAsia="en-GB"/>
        </w:rPr>
        <w:t xml:space="preserve">dl-UL-TransmissionPeriodicity       </w:t>
      </w:r>
      <w:r w:rsidRPr="004A0C3E">
        <w:rPr>
          <w:rFonts w:ascii="Courier New" w:eastAsia="Times New Roman" w:hAnsi="Courier New" w:cs="Times New Roman"/>
          <w:noProof/>
          <w:color w:val="993366"/>
          <w:sz w:val="16"/>
          <w:szCs w:val="20"/>
          <w:highlight w:val="yellow"/>
          <w:lang w:val="en-GB" w:eastAsia="en-GB"/>
        </w:rPr>
        <w:t>ENUMERATED</w:t>
      </w:r>
      <w:r w:rsidRPr="004A0C3E">
        <w:rPr>
          <w:rFonts w:ascii="Courier New" w:eastAsia="Times New Roman" w:hAnsi="Courier New" w:cs="Times New Roman"/>
          <w:noProof/>
          <w:sz w:val="16"/>
          <w:szCs w:val="20"/>
          <w:highlight w:val="yellow"/>
          <w:lang w:val="en-GB" w:eastAsia="en-GB"/>
        </w:rPr>
        <w:t xml:space="preserve"> {ms0p5, ms0p625, ms1, ms1p25, ms2, ms2p5, ms5, ms10},</w:t>
      </w:r>
    </w:p>
    <w:p w14:paraId="426739B4"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nrofDownlinkSlots                   </w:t>
      </w:r>
      <w:r w:rsidRPr="004A0C3E">
        <w:rPr>
          <w:rFonts w:ascii="Courier New" w:eastAsia="Times New Roman" w:hAnsi="Courier New" w:cs="Times New Roman"/>
          <w:noProof/>
          <w:color w:val="993366"/>
          <w:sz w:val="16"/>
          <w:szCs w:val="20"/>
          <w:lang w:val="en-GB" w:eastAsia="en-GB"/>
        </w:rPr>
        <w:t>INTEGER</w:t>
      </w:r>
      <w:r w:rsidRPr="004A0C3E">
        <w:rPr>
          <w:rFonts w:ascii="Courier New" w:eastAsia="Times New Roman" w:hAnsi="Courier New" w:cs="Times New Roman"/>
          <w:noProof/>
          <w:sz w:val="16"/>
          <w:szCs w:val="20"/>
          <w:lang w:val="en-GB" w:eastAsia="en-GB"/>
        </w:rPr>
        <w:t xml:space="preserve"> (0..maxNrofSlots),</w:t>
      </w:r>
    </w:p>
    <w:p w14:paraId="0D1D8563"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nrofDownlinkSymbols                 </w:t>
      </w:r>
      <w:r w:rsidRPr="004A0C3E">
        <w:rPr>
          <w:rFonts w:ascii="Courier New" w:eastAsia="Times New Roman" w:hAnsi="Courier New" w:cs="Times New Roman"/>
          <w:noProof/>
          <w:color w:val="993366"/>
          <w:sz w:val="16"/>
          <w:szCs w:val="20"/>
          <w:lang w:val="en-GB" w:eastAsia="en-GB"/>
        </w:rPr>
        <w:t>INTEGER</w:t>
      </w:r>
      <w:r w:rsidRPr="004A0C3E">
        <w:rPr>
          <w:rFonts w:ascii="Courier New" w:eastAsia="Times New Roman" w:hAnsi="Courier New" w:cs="Times New Roman"/>
          <w:noProof/>
          <w:sz w:val="16"/>
          <w:szCs w:val="20"/>
          <w:lang w:val="en-GB" w:eastAsia="en-GB"/>
        </w:rPr>
        <w:t xml:space="preserve"> (0..maxNrofSymbols-1),</w:t>
      </w:r>
    </w:p>
    <w:p w14:paraId="4092D605" w14:textId="77777777" w:rsidR="005C5BF5" w:rsidRPr="00F44D8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sv-SE" w:eastAsia="en-GB"/>
        </w:rPr>
      </w:pPr>
      <w:r w:rsidRPr="004A0C3E">
        <w:rPr>
          <w:rFonts w:ascii="Courier New" w:eastAsia="Times New Roman" w:hAnsi="Courier New" w:cs="Times New Roman"/>
          <w:noProof/>
          <w:sz w:val="16"/>
          <w:szCs w:val="20"/>
          <w:lang w:val="en-GB" w:eastAsia="en-GB"/>
        </w:rPr>
        <w:t xml:space="preserve">    </w:t>
      </w:r>
      <w:r w:rsidRPr="00F44D8E">
        <w:rPr>
          <w:rFonts w:ascii="Courier New" w:eastAsia="Times New Roman" w:hAnsi="Courier New" w:cs="Times New Roman"/>
          <w:noProof/>
          <w:sz w:val="16"/>
          <w:szCs w:val="20"/>
          <w:lang w:val="sv-SE" w:eastAsia="en-GB"/>
        </w:rPr>
        <w:t xml:space="preserve">nrofUplinkSlots                     </w:t>
      </w:r>
      <w:r w:rsidRPr="00F44D8E">
        <w:rPr>
          <w:rFonts w:ascii="Courier New" w:eastAsia="Times New Roman" w:hAnsi="Courier New" w:cs="Times New Roman"/>
          <w:noProof/>
          <w:color w:val="993366"/>
          <w:sz w:val="16"/>
          <w:szCs w:val="20"/>
          <w:lang w:val="sv-SE" w:eastAsia="en-GB"/>
        </w:rPr>
        <w:t>INTEGER</w:t>
      </w:r>
      <w:r w:rsidRPr="00F44D8E">
        <w:rPr>
          <w:rFonts w:ascii="Courier New" w:eastAsia="Times New Roman" w:hAnsi="Courier New" w:cs="Times New Roman"/>
          <w:noProof/>
          <w:sz w:val="16"/>
          <w:szCs w:val="20"/>
          <w:lang w:val="sv-SE" w:eastAsia="en-GB"/>
        </w:rPr>
        <w:t xml:space="preserve"> (0..maxNrofSlots),</w:t>
      </w:r>
    </w:p>
    <w:p w14:paraId="5C295A5A" w14:textId="77777777" w:rsidR="005C5BF5" w:rsidRPr="00F44D8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sv-SE" w:eastAsia="en-GB"/>
        </w:rPr>
      </w:pPr>
      <w:r w:rsidRPr="00F44D8E">
        <w:rPr>
          <w:rFonts w:ascii="Courier New" w:eastAsia="Times New Roman" w:hAnsi="Courier New" w:cs="Times New Roman"/>
          <w:noProof/>
          <w:sz w:val="16"/>
          <w:szCs w:val="20"/>
          <w:lang w:val="sv-SE" w:eastAsia="en-GB"/>
        </w:rPr>
        <w:t xml:space="preserve">    nrofUplinkSymbols                   </w:t>
      </w:r>
      <w:r w:rsidRPr="00F44D8E">
        <w:rPr>
          <w:rFonts w:ascii="Courier New" w:eastAsia="Times New Roman" w:hAnsi="Courier New" w:cs="Times New Roman"/>
          <w:noProof/>
          <w:color w:val="993366"/>
          <w:sz w:val="16"/>
          <w:szCs w:val="20"/>
          <w:lang w:val="sv-SE" w:eastAsia="en-GB"/>
        </w:rPr>
        <w:t>INTEGER</w:t>
      </w:r>
      <w:r w:rsidRPr="00F44D8E">
        <w:rPr>
          <w:rFonts w:ascii="Courier New" w:eastAsia="Times New Roman" w:hAnsi="Courier New" w:cs="Times New Roman"/>
          <w:noProof/>
          <w:sz w:val="16"/>
          <w:szCs w:val="20"/>
          <w:lang w:val="sv-SE" w:eastAsia="en-GB"/>
        </w:rPr>
        <w:t xml:space="preserve"> (0..maxNrofSymbols-1),</w:t>
      </w:r>
    </w:p>
    <w:p w14:paraId="397C150C"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F44D8E">
        <w:rPr>
          <w:rFonts w:ascii="Courier New" w:eastAsia="Times New Roman" w:hAnsi="Courier New" w:cs="Times New Roman"/>
          <w:noProof/>
          <w:sz w:val="16"/>
          <w:szCs w:val="20"/>
          <w:lang w:val="sv-SE" w:eastAsia="en-GB"/>
        </w:rPr>
        <w:t xml:space="preserve">    </w:t>
      </w:r>
      <w:r w:rsidRPr="004A0C3E">
        <w:rPr>
          <w:rFonts w:ascii="Courier New" w:eastAsia="Times New Roman" w:hAnsi="Courier New" w:cs="Times New Roman"/>
          <w:noProof/>
          <w:sz w:val="16"/>
          <w:szCs w:val="20"/>
          <w:lang w:val="en-GB" w:eastAsia="en-GB"/>
        </w:rPr>
        <w:t>...,</w:t>
      </w:r>
    </w:p>
    <w:p w14:paraId="68404BD8"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p>
    <w:p w14:paraId="05AA792F"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color w:val="808080"/>
          <w:sz w:val="16"/>
          <w:szCs w:val="20"/>
          <w:lang w:val="en-GB" w:eastAsia="en-GB"/>
        </w:rPr>
      </w:pPr>
      <w:r w:rsidRPr="004A0C3E">
        <w:rPr>
          <w:rFonts w:ascii="Courier New" w:eastAsia="Times New Roman" w:hAnsi="Courier New" w:cs="Times New Roman"/>
          <w:noProof/>
          <w:sz w:val="16"/>
          <w:szCs w:val="20"/>
          <w:lang w:val="en-GB" w:eastAsia="en-GB"/>
        </w:rPr>
        <w:t xml:space="preserve">    dl-UL-TransmissionPeriodicity-v1530     </w:t>
      </w:r>
      <w:r w:rsidRPr="004A0C3E">
        <w:rPr>
          <w:rFonts w:ascii="Courier New" w:eastAsia="Times New Roman" w:hAnsi="Courier New" w:cs="Times New Roman"/>
          <w:noProof/>
          <w:color w:val="993366"/>
          <w:sz w:val="16"/>
          <w:szCs w:val="20"/>
          <w:lang w:val="en-GB" w:eastAsia="en-GB"/>
        </w:rPr>
        <w:t>ENUMERATED</w:t>
      </w:r>
      <w:r w:rsidRPr="004A0C3E">
        <w:rPr>
          <w:rFonts w:ascii="Courier New" w:eastAsia="Times New Roman" w:hAnsi="Courier New" w:cs="Times New Roman"/>
          <w:noProof/>
          <w:sz w:val="16"/>
          <w:szCs w:val="20"/>
          <w:lang w:val="en-GB" w:eastAsia="en-GB"/>
        </w:rPr>
        <w:t xml:space="preserve"> {ms3, ms4}                      </w:t>
      </w:r>
      <w:r w:rsidRPr="004A0C3E">
        <w:rPr>
          <w:rFonts w:ascii="Courier New" w:eastAsia="Times New Roman" w:hAnsi="Courier New" w:cs="Times New Roman"/>
          <w:noProof/>
          <w:color w:val="993366"/>
          <w:sz w:val="16"/>
          <w:szCs w:val="20"/>
          <w:lang w:val="en-GB" w:eastAsia="en-GB"/>
        </w:rPr>
        <w:t>OPTIONAL</w:t>
      </w:r>
      <w:r w:rsidRPr="004A0C3E">
        <w:rPr>
          <w:rFonts w:ascii="Courier New" w:eastAsia="Times New Roman" w:hAnsi="Courier New" w:cs="Times New Roman"/>
          <w:noProof/>
          <w:sz w:val="16"/>
          <w:szCs w:val="20"/>
          <w:lang w:val="en-GB" w:eastAsia="en-GB"/>
        </w:rPr>
        <w:t xml:space="preserve"> </w:t>
      </w:r>
      <w:r w:rsidRPr="004A0C3E">
        <w:rPr>
          <w:rFonts w:ascii="Courier New" w:eastAsia="Times New Roman" w:hAnsi="Courier New" w:cs="Times New Roman"/>
          <w:noProof/>
          <w:color w:val="808080"/>
          <w:sz w:val="16"/>
          <w:szCs w:val="20"/>
          <w:lang w:val="en-GB" w:eastAsia="en-GB"/>
        </w:rPr>
        <w:t>-- Need R</w:t>
      </w:r>
    </w:p>
    <w:p w14:paraId="77F7C023"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 xml:space="preserve">    ]]</w:t>
      </w:r>
    </w:p>
    <w:p w14:paraId="7692E42A" w14:textId="77777777" w:rsidR="005C5BF5" w:rsidRPr="004A0C3E" w:rsidRDefault="005C5BF5" w:rsidP="005C5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621"/>
        <w:textAlignment w:val="baseline"/>
        <w:rPr>
          <w:rFonts w:ascii="Courier New" w:eastAsia="Times New Roman" w:hAnsi="Courier New" w:cs="Times New Roman"/>
          <w:noProof/>
          <w:sz w:val="16"/>
          <w:szCs w:val="20"/>
          <w:lang w:val="en-GB" w:eastAsia="en-GB"/>
        </w:rPr>
      </w:pPr>
      <w:r w:rsidRPr="004A0C3E">
        <w:rPr>
          <w:rFonts w:ascii="Courier New" w:eastAsia="Times New Roman" w:hAnsi="Courier New" w:cs="Times New Roman"/>
          <w:noProof/>
          <w:sz w:val="16"/>
          <w:szCs w:val="20"/>
          <w:lang w:val="en-GB" w:eastAsia="en-GB"/>
        </w:rPr>
        <w:t>}</w:t>
      </w:r>
    </w:p>
    <w:p w14:paraId="7C481D5C" w14:textId="77777777" w:rsidR="005C5BF5" w:rsidRDefault="005C5BF5" w:rsidP="005C5BF5">
      <w:pPr>
        <w:jc w:val="both"/>
        <w:rPr>
          <w:lang w:eastAsia="ja-JP"/>
        </w:rPr>
      </w:pPr>
    </w:p>
    <w:p w14:paraId="759B473B" w14:textId="5B0C0CB1" w:rsidR="005C5BF5" w:rsidRDefault="005C5BF5" w:rsidP="005C5BF5">
      <w:pPr>
        <w:jc w:val="both"/>
        <w:rPr>
          <w:lang w:eastAsia="ja-JP"/>
        </w:rPr>
      </w:pPr>
      <w:r>
        <w:rPr>
          <w:lang w:eastAsia="ja-JP"/>
        </w:rPr>
        <w:t xml:space="preserve">Assuming 30 kHz SCS with a 5-slot TDD pattern (XXXXU), for example, the period is 2.5 ms, i.e., </w:t>
      </w:r>
      <w:r w:rsidRPr="007F140D">
        <w:rPr>
          <w:i/>
          <w:iCs/>
          <w:lang w:eastAsia="ja-JP"/>
        </w:rPr>
        <w:t>dl-UL-</w:t>
      </w:r>
      <w:proofErr w:type="spellStart"/>
      <w:r w:rsidRPr="007F140D">
        <w:rPr>
          <w:i/>
          <w:iCs/>
          <w:lang w:eastAsia="ja-JP"/>
        </w:rPr>
        <w:t>Transmission</w:t>
      </w:r>
      <w:r w:rsidR="007B4409">
        <w:rPr>
          <w:i/>
          <w:iCs/>
          <w:lang w:eastAsia="ja-JP"/>
        </w:rPr>
        <w:t>P</w:t>
      </w:r>
      <w:r w:rsidRPr="007F140D">
        <w:rPr>
          <w:i/>
          <w:iCs/>
          <w:lang w:eastAsia="ja-JP"/>
        </w:rPr>
        <w:t>eriodicity</w:t>
      </w:r>
      <w:proofErr w:type="spellEnd"/>
      <w:r>
        <w:rPr>
          <w:lang w:eastAsia="ja-JP"/>
        </w:rPr>
        <w:t xml:space="preserve"> = ms2p5.</w:t>
      </w:r>
      <w:r w:rsidR="00A51368">
        <w:rPr>
          <w:lang w:eastAsia="ja-JP"/>
        </w:rPr>
        <w:t xml:space="preserve"> </w:t>
      </w:r>
      <w:r w:rsidR="00125F40">
        <w:rPr>
          <w:lang w:eastAsia="ja-JP"/>
        </w:rPr>
        <w:t xml:space="preserve">In case two patterns are used, similar as for legacy UEs, the SBFD period </w:t>
      </w:r>
      <w:r w:rsidR="00F953D9">
        <w:rPr>
          <w:lang w:eastAsia="ja-JP"/>
        </w:rPr>
        <w:t>is</w:t>
      </w:r>
      <w:r w:rsidR="00125F40">
        <w:rPr>
          <w:lang w:eastAsia="ja-JP"/>
        </w:rPr>
        <w:t xml:space="preserve"> the sum of the period</w:t>
      </w:r>
      <w:r w:rsidR="00ED6E59">
        <w:rPr>
          <w:lang w:eastAsia="ja-JP"/>
        </w:rPr>
        <w:t>icity</w:t>
      </w:r>
      <w:r w:rsidR="00125F40">
        <w:rPr>
          <w:lang w:eastAsia="ja-JP"/>
        </w:rPr>
        <w:t xml:space="preserve"> in pattern1 and pattern2.</w:t>
      </w:r>
    </w:p>
    <w:p w14:paraId="2E566297" w14:textId="2783F0A5" w:rsidR="00ED6E59" w:rsidRDefault="005C5BF5" w:rsidP="00981E22">
      <w:pPr>
        <w:pStyle w:val="Proposal"/>
      </w:pPr>
      <w:bookmarkStart w:id="11" w:name="_Ref118294415"/>
      <w:bookmarkStart w:id="12" w:name="_Toc142485990"/>
      <w:bookmarkStart w:id="13" w:name="_Toc159244005"/>
      <w:r>
        <w:t xml:space="preserve">For semi-static </w:t>
      </w:r>
      <w:r w:rsidRPr="00705B45">
        <w:t>configuration of SBFD subband time locations within a period</w:t>
      </w:r>
      <w:r>
        <w:t xml:space="preserve">, the periodicity </w:t>
      </w:r>
      <w:r w:rsidR="00ED6E59">
        <w:t>is</w:t>
      </w:r>
      <w:r>
        <w:t xml:space="preserve"> </w:t>
      </w:r>
      <w:r w:rsidR="00CC5BC3">
        <w:t xml:space="preserve">determined </w:t>
      </w:r>
      <w:r>
        <w:t>by the existing DL-UL transmission periodicity parameter</w:t>
      </w:r>
      <w:r w:rsidR="00125F40">
        <w:t>(s)</w:t>
      </w:r>
      <w:r>
        <w:t xml:space="preserve"> defined in </w:t>
      </w:r>
      <w:r w:rsidRPr="00705B45">
        <w:rPr>
          <w:i/>
          <w:iCs/>
        </w:rPr>
        <w:t>TDD-UL-DL-</w:t>
      </w:r>
      <w:proofErr w:type="spellStart"/>
      <w:r w:rsidRPr="00705B45">
        <w:rPr>
          <w:i/>
          <w:iCs/>
        </w:rPr>
        <w:t>ConfigCommon</w:t>
      </w:r>
      <w:bookmarkEnd w:id="11"/>
      <w:bookmarkEnd w:id="12"/>
      <w:proofErr w:type="spellEnd"/>
      <w:r w:rsidR="00971FE3">
        <w:t xml:space="preserve">. </w:t>
      </w:r>
      <w:r w:rsidR="00971FE3">
        <w:rPr>
          <w:lang w:eastAsia="ja-JP"/>
        </w:rPr>
        <w:t>In case two patterns are used, the SBFD period is the sum of the periodicity in pattern1 and pattern2.</w:t>
      </w:r>
      <w:bookmarkEnd w:id="13"/>
    </w:p>
    <w:p w14:paraId="69643A0E" w14:textId="0BB3C1FC" w:rsidR="00ED6E59" w:rsidRPr="00CE0424" w:rsidRDefault="00ED6E59" w:rsidP="00ED6E59">
      <w:pPr>
        <w:jc w:val="both"/>
        <w:rPr>
          <w:lang w:eastAsia="ja-JP"/>
        </w:rPr>
      </w:pPr>
      <w:r>
        <w:rPr>
          <w:lang w:eastAsia="ja-JP"/>
        </w:rPr>
        <w:t xml:space="preserve">In addition to indicating the periodicity to the UE, one also needs to indicate which </w:t>
      </w:r>
      <w:r w:rsidR="007C68F2">
        <w:rPr>
          <w:lang w:eastAsia="ja-JP"/>
        </w:rPr>
        <w:t>D</w:t>
      </w:r>
      <w:r w:rsidR="00797AC2">
        <w:rPr>
          <w:lang w:eastAsia="ja-JP"/>
        </w:rPr>
        <w:t>L and/or flexible</w:t>
      </w:r>
      <w:r w:rsidR="007C68F2">
        <w:rPr>
          <w:lang w:eastAsia="ja-JP"/>
        </w:rPr>
        <w:t xml:space="preserve"> </w:t>
      </w:r>
      <w:r>
        <w:rPr>
          <w:lang w:eastAsia="ja-JP"/>
        </w:rPr>
        <w:t>symbols</w:t>
      </w:r>
      <w:r w:rsidR="00B754D0">
        <w:rPr>
          <w:lang w:eastAsia="ja-JP"/>
        </w:rPr>
        <w:t xml:space="preserve">, as configured by </w:t>
      </w:r>
      <w:r w:rsidR="00B754D0" w:rsidRPr="00705B45">
        <w:rPr>
          <w:i/>
          <w:iCs/>
        </w:rPr>
        <w:t>TDD-UL-DL-</w:t>
      </w:r>
      <w:proofErr w:type="spellStart"/>
      <w:r w:rsidR="00B754D0" w:rsidRPr="00705B45">
        <w:rPr>
          <w:i/>
          <w:iCs/>
        </w:rPr>
        <w:t>ConfigCommon</w:t>
      </w:r>
      <w:proofErr w:type="spellEnd"/>
      <w:r w:rsidR="00B754D0">
        <w:t xml:space="preserve"> and/or </w:t>
      </w:r>
      <w:r w:rsidR="00B754D0" w:rsidRPr="00AE474D">
        <w:rPr>
          <w:i/>
          <w:iCs/>
          <w:lang w:val="en-GB" w:eastAsia="ja-JP"/>
        </w:rPr>
        <w:t>TDD-UL-DL-</w:t>
      </w:r>
      <w:proofErr w:type="spellStart"/>
      <w:r w:rsidR="00B754D0" w:rsidRPr="00AE474D">
        <w:rPr>
          <w:i/>
          <w:iCs/>
          <w:lang w:val="en-GB" w:eastAsia="ja-JP"/>
        </w:rPr>
        <w:t>ConfigDedicated</w:t>
      </w:r>
      <w:proofErr w:type="spellEnd"/>
      <w:r w:rsidR="00B754D0">
        <w:rPr>
          <w:lang w:eastAsia="ja-JP"/>
        </w:rPr>
        <w:t xml:space="preserve">, </w:t>
      </w:r>
      <w:r>
        <w:rPr>
          <w:lang w:eastAsia="ja-JP"/>
        </w:rPr>
        <w:t xml:space="preserve">that are SBFD symbols. </w:t>
      </w:r>
    </w:p>
    <w:p w14:paraId="0F57A917" w14:textId="64436D84" w:rsidR="009B4220" w:rsidRPr="00281F30" w:rsidRDefault="009B4220" w:rsidP="00281F30">
      <w:pPr>
        <w:pStyle w:val="Proposal"/>
      </w:pPr>
      <w:bookmarkStart w:id="14" w:name="_Hlk155088785"/>
      <w:bookmarkStart w:id="15" w:name="_Toc159244006"/>
      <w:r>
        <w:t xml:space="preserve">For </w:t>
      </w:r>
      <w:r w:rsidR="002F2B2D">
        <w:t xml:space="preserve">a </w:t>
      </w:r>
      <w:r>
        <w:t xml:space="preserve">semi-static </w:t>
      </w:r>
      <w:r w:rsidRPr="00705B45">
        <w:t xml:space="preserve">configuration of SBFD </w:t>
      </w:r>
      <w:proofErr w:type="spellStart"/>
      <w:r w:rsidRPr="00705B45">
        <w:t>subband</w:t>
      </w:r>
      <w:proofErr w:type="spellEnd"/>
      <w:r w:rsidRPr="00705B45">
        <w:t xml:space="preserve"> time locations</w:t>
      </w:r>
      <w:r>
        <w:t xml:space="preserve"> within a period, </w:t>
      </w:r>
      <w:bookmarkEnd w:id="14"/>
      <w:r>
        <w:t>a</w:t>
      </w:r>
      <w:r w:rsidRPr="009B4220">
        <w:t xml:space="preserve"> subset of D</w:t>
      </w:r>
      <w:r w:rsidR="00F3774F">
        <w:t>L</w:t>
      </w:r>
      <w:r w:rsidRPr="009B4220">
        <w:t xml:space="preserve"> </w:t>
      </w:r>
      <w:r>
        <w:t>and</w:t>
      </w:r>
      <w:r w:rsidR="003243CB">
        <w:t>/or</w:t>
      </w:r>
      <w:r>
        <w:t xml:space="preserve"> </w:t>
      </w:r>
      <w:r w:rsidR="00F3774F">
        <w:t>flexible</w:t>
      </w:r>
      <w:r>
        <w:t xml:space="preserve"> symbols</w:t>
      </w:r>
      <w:r w:rsidRPr="009B4220">
        <w:t xml:space="preserve"> </w:t>
      </w:r>
      <w:r w:rsidR="001F5C28">
        <w:t xml:space="preserve">(as configured in </w:t>
      </w:r>
      <w:r w:rsidR="001F5C28" w:rsidRPr="00705B45">
        <w:rPr>
          <w:i/>
          <w:iCs/>
        </w:rPr>
        <w:t>TDD-UL-DL-</w:t>
      </w:r>
      <w:proofErr w:type="spellStart"/>
      <w:r w:rsidR="001F5C28" w:rsidRPr="00705B45">
        <w:rPr>
          <w:i/>
          <w:iCs/>
        </w:rPr>
        <w:t>ConfigCommon</w:t>
      </w:r>
      <w:proofErr w:type="spellEnd"/>
      <w:r w:rsidR="001F5C28">
        <w:t xml:space="preserve"> and/or </w:t>
      </w:r>
      <w:r w:rsidR="001F5C28" w:rsidRPr="00AE474D">
        <w:rPr>
          <w:i/>
          <w:iCs/>
          <w:lang w:val="en-GB" w:eastAsia="ja-JP"/>
        </w:rPr>
        <w:t>TDD-UL-DL-</w:t>
      </w:r>
      <w:proofErr w:type="spellStart"/>
      <w:r w:rsidR="001F5C28" w:rsidRPr="00AE474D">
        <w:rPr>
          <w:i/>
          <w:iCs/>
          <w:lang w:val="en-GB" w:eastAsia="ja-JP"/>
        </w:rPr>
        <w:t>ConfigDedicated</w:t>
      </w:r>
      <w:proofErr w:type="spellEnd"/>
      <w:r w:rsidR="001F5C28">
        <w:t>) can be</w:t>
      </w:r>
      <w:r w:rsidRPr="009B4220">
        <w:t xml:space="preserve"> configured as</w:t>
      </w:r>
      <w:r>
        <w:t xml:space="preserve"> SBFD symbols.</w:t>
      </w:r>
      <w:bookmarkEnd w:id="15"/>
    </w:p>
    <w:p w14:paraId="23F1F9B0" w14:textId="6D088BE5" w:rsidR="009B4220" w:rsidRDefault="00B754D0" w:rsidP="00ED6E59">
      <w:pPr>
        <w:jc w:val="both"/>
        <w:rPr>
          <w:lang w:eastAsia="ja-JP"/>
        </w:rPr>
      </w:pPr>
      <w:r>
        <w:rPr>
          <w:lang w:eastAsia="ja-JP"/>
        </w:rPr>
        <w:t>Also related to timing is the number of transition points between non-SBFD symbols to SBFD symbols and vice versa and for which TR 38.858 provides the following guidance:</w:t>
      </w:r>
    </w:p>
    <w:tbl>
      <w:tblPr>
        <w:tblStyle w:val="TableGrid"/>
        <w:tblW w:w="0" w:type="auto"/>
        <w:tblLook w:val="04A0" w:firstRow="1" w:lastRow="0" w:firstColumn="1" w:lastColumn="0" w:noHBand="0" w:noVBand="1"/>
      </w:tblPr>
      <w:tblGrid>
        <w:gridCol w:w="9629"/>
      </w:tblGrid>
      <w:tr w:rsidR="00DD3F00" w14:paraId="0B954C76" w14:textId="77777777" w:rsidTr="005D6470">
        <w:tc>
          <w:tcPr>
            <w:tcW w:w="9629" w:type="dxa"/>
          </w:tcPr>
          <w:p w14:paraId="280F39D3" w14:textId="6C1ED4DD" w:rsidR="005D6470" w:rsidRDefault="005D6470" w:rsidP="00ED6E59">
            <w:pPr>
              <w:jc w:val="both"/>
              <w:rPr>
                <w:rFonts w:ascii="Times" w:eastAsia="Malgun Gothic" w:hAnsi="Times"/>
                <w:lang w:eastAsia="x-none"/>
              </w:rPr>
            </w:pPr>
            <w:r>
              <w:rPr>
                <w:rFonts w:ascii="Times" w:eastAsia="Malgun Gothic" w:hAnsi="Times"/>
                <w:lang w:eastAsia="x-none"/>
              </w:rPr>
              <w:t>TR 38.858:</w:t>
            </w:r>
          </w:p>
          <w:p w14:paraId="02784C36" w14:textId="040DFF7E" w:rsidR="005D6470" w:rsidRDefault="005D6470" w:rsidP="00ED6E59">
            <w:pPr>
              <w:jc w:val="both"/>
              <w:rPr>
                <w:lang w:eastAsia="ja-JP"/>
              </w:rPr>
            </w:pPr>
            <w:r w:rsidRPr="006B2A04">
              <w:rPr>
                <w:rFonts w:ascii="Times" w:eastAsia="Malgun Gothic" w:hAnsi="Times"/>
                <w:lang w:eastAsia="x-none"/>
              </w:rPr>
              <w:t xml:space="preserve">Maximum of two transition points </w:t>
            </w:r>
            <w:bookmarkStart w:id="16" w:name="_Hlk157781194"/>
            <w:r w:rsidRPr="006B2A04">
              <w:rPr>
                <w:rFonts w:ascii="Times" w:eastAsia="Malgun Gothic" w:hAnsi="Times"/>
                <w:lang w:eastAsia="x-none"/>
              </w:rPr>
              <w:t xml:space="preserve">including one transition point from non-SBFD symbols to SBFD symbols </w:t>
            </w:r>
            <w:bookmarkEnd w:id="16"/>
            <w:r w:rsidRPr="006B2A04">
              <w:rPr>
                <w:rFonts w:ascii="Times" w:eastAsia="Malgun Gothic" w:hAnsi="Times"/>
                <w:lang w:eastAsia="x-none"/>
              </w:rPr>
              <w:t>and one transition point from SBFD symbols to non-SBFD symbols within a TDD UL/DL pattern period can be considered as a starting point where the transition point can be aligned with slot boundary or within a slot.</w:t>
            </w:r>
          </w:p>
        </w:tc>
      </w:tr>
    </w:tbl>
    <w:p w14:paraId="69CEA181" w14:textId="7054C9A3" w:rsidR="004C340B" w:rsidRPr="00CE0424" w:rsidRDefault="005D6470" w:rsidP="00B67EFF">
      <w:pPr>
        <w:spacing w:before="240"/>
        <w:jc w:val="both"/>
        <w:rPr>
          <w:lang w:eastAsia="ja-JP"/>
        </w:rPr>
      </w:pPr>
      <w:r>
        <w:rPr>
          <w:lang w:eastAsia="ja-JP"/>
        </w:rPr>
        <w:t>As discussed in TR 38.858, t</w:t>
      </w:r>
      <w:r w:rsidR="002B4C3B">
        <w:rPr>
          <w:lang w:eastAsia="ja-JP"/>
        </w:rPr>
        <w:t xml:space="preserve">o avoid overly-complex signaling and excessive </w:t>
      </w:r>
      <w:r w:rsidR="00B754D0">
        <w:rPr>
          <w:lang w:eastAsia="ja-JP"/>
        </w:rPr>
        <w:t xml:space="preserve">resource consuming </w:t>
      </w:r>
      <w:r w:rsidR="002B4C3B">
        <w:rPr>
          <w:lang w:eastAsia="ja-JP"/>
        </w:rPr>
        <w:t xml:space="preserve">switching between different types of symbols, we think it is beneficial to restrict the configuration of SBFD subband time locations within a </w:t>
      </w:r>
      <w:r w:rsidR="00AF1594">
        <w:rPr>
          <w:lang w:eastAsia="ja-JP"/>
        </w:rPr>
        <w:t xml:space="preserve">SBFD </w:t>
      </w:r>
      <w:r w:rsidR="002B4C3B">
        <w:rPr>
          <w:lang w:eastAsia="ja-JP"/>
        </w:rPr>
        <w:t xml:space="preserve">period to at most one set of consecutive symbols. </w:t>
      </w:r>
      <w:r w:rsidR="00826A22">
        <w:rPr>
          <w:lang w:eastAsia="ja-JP"/>
        </w:rPr>
        <w:t xml:space="preserve">This is particularly important for cell-specific signaling where the signaling needs to be simple. </w:t>
      </w:r>
      <w:r w:rsidR="003D4568">
        <w:rPr>
          <w:lang w:eastAsia="ja-JP"/>
        </w:rPr>
        <w:t>In addition, to be compatible with legacy UL/DL configurations, the switching points should be allowed to occur both at a slot boundary and within a slot.</w:t>
      </w:r>
    </w:p>
    <w:p w14:paraId="4A7D0CF5" w14:textId="321F7B1C" w:rsidR="002B4C3B" w:rsidRPr="00CE0424" w:rsidRDefault="00826A22" w:rsidP="00B67EFF">
      <w:pPr>
        <w:pStyle w:val="Proposal"/>
        <w:rPr>
          <w:lang w:eastAsia="ja-JP"/>
        </w:rPr>
      </w:pPr>
      <w:bookmarkStart w:id="17" w:name="_Toc159244007"/>
      <w:r>
        <w:t xml:space="preserve">At least for </w:t>
      </w:r>
      <w:r w:rsidR="002B4C3B" w:rsidRPr="005528EA">
        <w:t xml:space="preserve">semi-static configuration </w:t>
      </w:r>
      <w:r>
        <w:t xml:space="preserve">in cell-specific signaling </w:t>
      </w:r>
      <w:r w:rsidR="002B4C3B" w:rsidRPr="005528EA">
        <w:t xml:space="preserve">of SBFD subband time locations within a </w:t>
      </w:r>
      <w:r w:rsidR="009C7B02" w:rsidRPr="00B67EFF">
        <w:t xml:space="preserve">TDD UL/DL </w:t>
      </w:r>
      <w:r w:rsidR="002B4C3B" w:rsidRPr="005528EA">
        <w:t>period,</w:t>
      </w:r>
      <w:r w:rsidR="002B4C3B" w:rsidRPr="005528EA">
        <w:rPr>
          <w:lang w:eastAsia="ja-JP"/>
        </w:rPr>
        <w:t xml:space="preserve"> at most </w:t>
      </w:r>
      <w:bookmarkStart w:id="18" w:name="_Hlk157780958"/>
      <w:r w:rsidR="002B4C3B" w:rsidRPr="005528EA">
        <w:rPr>
          <w:lang w:eastAsia="ja-JP"/>
        </w:rPr>
        <w:t>one set of consecutive symbols are configured as SBFD symbols</w:t>
      </w:r>
      <w:bookmarkEnd w:id="18"/>
      <w:r w:rsidR="002B4C3B" w:rsidRPr="005528EA">
        <w:rPr>
          <w:lang w:eastAsia="ja-JP"/>
        </w:rPr>
        <w:t>.</w:t>
      </w:r>
      <w:r w:rsidR="00661CA1" w:rsidRPr="005528EA">
        <w:rPr>
          <w:lang w:eastAsia="ja-JP"/>
        </w:rPr>
        <w:t xml:space="preserve"> That is, at most two switching points</w:t>
      </w:r>
      <w:r w:rsidR="003846CB" w:rsidRPr="005528EA">
        <w:rPr>
          <w:lang w:eastAsia="ja-JP"/>
        </w:rPr>
        <w:t xml:space="preserve"> can occur at a slot boundary or within a slot.</w:t>
      </w:r>
      <w:bookmarkEnd w:id="17"/>
    </w:p>
    <w:p w14:paraId="6A314C97" w14:textId="3C3A32E1" w:rsidR="00266A84" w:rsidRDefault="00230D18" w:rsidP="00266A84">
      <w:pPr>
        <w:pStyle w:val="Heading2"/>
      </w:pPr>
      <w:r>
        <w:t>2.</w:t>
      </w:r>
      <w:r w:rsidR="000F7775">
        <w:t>3</w:t>
      </w:r>
      <w:r>
        <w:tab/>
      </w:r>
      <w:r w:rsidR="00266A84">
        <w:t xml:space="preserve">Semi-static Indication of Frequency location of </w:t>
      </w:r>
      <w:r w:rsidR="00BC06D5">
        <w:t>UL subband</w:t>
      </w:r>
    </w:p>
    <w:p w14:paraId="6DF77E7D" w14:textId="4B8F2B2D" w:rsidR="005F31A2" w:rsidRPr="005F31A2" w:rsidRDefault="009E3943" w:rsidP="006500D6">
      <w:pPr>
        <w:spacing w:beforeLines="50" w:before="120"/>
        <w:jc w:val="both"/>
        <w:rPr>
          <w:rFonts w:eastAsiaTheme="minorEastAsia"/>
          <w:lang w:eastAsia="zh-CN"/>
        </w:rPr>
      </w:pPr>
      <w:r>
        <w:t xml:space="preserve">The second </w:t>
      </w:r>
      <w:r w:rsidR="00A11BC0">
        <w:t>objective of the WID is to “</w:t>
      </w:r>
      <w:r w:rsidR="00A11BC0" w:rsidRPr="00A11BC0">
        <w:t>Specify semi-static indication of frequency domain location of SBFD subbands to UEs in RRC_CONNECTED mode</w:t>
      </w:r>
      <w:r>
        <w:t>.</w:t>
      </w:r>
      <w:r w:rsidR="00A11BC0">
        <w:t>”</w:t>
      </w:r>
      <w:r w:rsidR="006500D6">
        <w:t xml:space="preserve"> With respect to that, the TR 38.858 provides the following conclusions:</w:t>
      </w:r>
    </w:p>
    <w:tbl>
      <w:tblPr>
        <w:tblStyle w:val="TableGrid"/>
        <w:tblW w:w="0" w:type="auto"/>
        <w:tblLook w:val="04A0" w:firstRow="1" w:lastRow="0" w:firstColumn="1" w:lastColumn="0" w:noHBand="0" w:noVBand="1"/>
      </w:tblPr>
      <w:tblGrid>
        <w:gridCol w:w="9629"/>
      </w:tblGrid>
      <w:tr w:rsidR="00DD3F00" w14:paraId="2487C3AF" w14:textId="77777777" w:rsidTr="00C45B6B">
        <w:tc>
          <w:tcPr>
            <w:tcW w:w="0" w:type="auto"/>
          </w:tcPr>
          <w:p w14:paraId="5B8A493C" w14:textId="3B46C436" w:rsidR="004C2E07" w:rsidRDefault="004C2E07" w:rsidP="00C45B6B">
            <w:pPr>
              <w:pStyle w:val="BodyText"/>
            </w:pPr>
            <w:r>
              <w:t>From TR 38.858:</w:t>
            </w:r>
          </w:p>
          <w:p w14:paraId="6200B7D7" w14:textId="77777777" w:rsidR="00C45B6B" w:rsidRPr="00281F30" w:rsidRDefault="00C45B6B" w:rsidP="00C45B6B">
            <w:pPr>
              <w:pStyle w:val="BodyText"/>
              <w:rPr>
                <w:rFonts w:ascii="Times New Roman" w:hAnsi="Times New Roman" w:cs="Times New Roman"/>
              </w:rPr>
            </w:pPr>
            <w:r w:rsidRPr="00281F30">
              <w:rPr>
                <w:rFonts w:ascii="Times New Roman" w:hAnsi="Times New Roman" w:cs="Times New Roman"/>
              </w:rPr>
              <w:lastRenderedPageBreak/>
              <w:t xml:space="preserve">For semi-static configuration of subband frequency locations for SBFD operation, at least explicit indication of frequency location of UL subband is required. At least for semi-static SBFD, the following two options are viable solutions for frequency location configuration of DL </w:t>
            </w:r>
            <w:proofErr w:type="spellStart"/>
            <w:r w:rsidRPr="00281F30">
              <w:rPr>
                <w:rFonts w:ascii="Times New Roman" w:hAnsi="Times New Roman" w:cs="Times New Roman"/>
              </w:rPr>
              <w:t>subband</w:t>
            </w:r>
            <w:proofErr w:type="spellEnd"/>
            <w:r w:rsidRPr="00281F30">
              <w:rPr>
                <w:rFonts w:ascii="Times New Roman" w:hAnsi="Times New Roman" w:cs="Times New Roman"/>
              </w:rPr>
              <w:t xml:space="preserve">(s) and </w:t>
            </w:r>
            <w:proofErr w:type="spellStart"/>
            <w:r w:rsidRPr="00281F30">
              <w:rPr>
                <w:rFonts w:ascii="Times New Roman" w:hAnsi="Times New Roman" w:cs="Times New Roman"/>
              </w:rPr>
              <w:t>guardband</w:t>
            </w:r>
            <w:proofErr w:type="spellEnd"/>
            <w:r w:rsidRPr="00281F30">
              <w:rPr>
                <w:rFonts w:ascii="Times New Roman" w:hAnsi="Times New Roman" w:cs="Times New Roman"/>
              </w:rPr>
              <w:t>(s) if any.</w:t>
            </w:r>
          </w:p>
          <w:p w14:paraId="5099982F" w14:textId="143141F4" w:rsidR="00C45B6B" w:rsidRPr="00281F30" w:rsidRDefault="00C45B6B" w:rsidP="00C45B6B">
            <w:pPr>
              <w:pStyle w:val="BodyText"/>
              <w:rPr>
                <w:rFonts w:ascii="Times New Roman" w:hAnsi="Times New Roman" w:cs="Times New Roman"/>
              </w:rPr>
            </w:pPr>
            <w:r w:rsidRPr="00281F30">
              <w:rPr>
                <w:rFonts w:ascii="Times New Roman" w:hAnsi="Times New Roman" w:cs="Times New Roman"/>
              </w:rPr>
              <w:t>-</w:t>
            </w:r>
            <w:r w:rsidRPr="00281F30">
              <w:rPr>
                <w:rFonts w:ascii="Times New Roman" w:hAnsi="Times New Roman" w:cs="Times New Roman"/>
              </w:rPr>
              <w:tab/>
              <w:t xml:space="preserve">Option 1: Frequency locations of DL and UL subband(s) are explicitly configured. </w:t>
            </w:r>
            <w:proofErr w:type="spellStart"/>
            <w:r w:rsidRPr="00281F30">
              <w:rPr>
                <w:rFonts w:ascii="Times New Roman" w:hAnsi="Times New Roman" w:cs="Times New Roman"/>
              </w:rPr>
              <w:t>Guardband</w:t>
            </w:r>
            <w:proofErr w:type="spellEnd"/>
            <w:r w:rsidRPr="00281F30">
              <w:rPr>
                <w:rFonts w:ascii="Times New Roman" w:hAnsi="Times New Roman" w:cs="Times New Roman"/>
              </w:rPr>
              <w:t xml:space="preserve">(s) if any are implicitly derived as the RBs which are not within UL subband or DL subband(s). </w:t>
            </w:r>
          </w:p>
          <w:p w14:paraId="2F701E30" w14:textId="77777777" w:rsidR="00C45B6B" w:rsidRPr="00281F30" w:rsidRDefault="00C45B6B" w:rsidP="00C45B6B">
            <w:pPr>
              <w:pStyle w:val="BodyText"/>
              <w:rPr>
                <w:rFonts w:ascii="Times New Roman" w:hAnsi="Times New Roman" w:cs="Times New Roman"/>
              </w:rPr>
            </w:pPr>
            <w:r w:rsidRPr="00281F30">
              <w:rPr>
                <w:rFonts w:ascii="Times New Roman" w:hAnsi="Times New Roman" w:cs="Times New Roman"/>
              </w:rPr>
              <w:t>-</w:t>
            </w:r>
            <w:r w:rsidRPr="00281F30">
              <w:rPr>
                <w:rFonts w:ascii="Times New Roman" w:hAnsi="Times New Roman" w:cs="Times New Roman"/>
              </w:rPr>
              <w:tab/>
              <w:t xml:space="preserve">Option 2: The number of RBs for </w:t>
            </w:r>
            <w:proofErr w:type="spellStart"/>
            <w:r w:rsidRPr="00281F30">
              <w:rPr>
                <w:rFonts w:ascii="Times New Roman" w:hAnsi="Times New Roman" w:cs="Times New Roman"/>
              </w:rPr>
              <w:t>guardband</w:t>
            </w:r>
            <w:proofErr w:type="spellEnd"/>
            <w:r w:rsidRPr="00281F30">
              <w:rPr>
                <w:rFonts w:ascii="Times New Roman" w:hAnsi="Times New Roman" w:cs="Times New Roman"/>
              </w:rPr>
              <w:t xml:space="preserve">(s), if any, is explicitly configured. DL subband(s) are implicitly derived as RBs which are not within UL </w:t>
            </w:r>
            <w:proofErr w:type="spellStart"/>
            <w:r w:rsidRPr="00281F30">
              <w:rPr>
                <w:rFonts w:ascii="Times New Roman" w:hAnsi="Times New Roman" w:cs="Times New Roman"/>
              </w:rPr>
              <w:t>subband</w:t>
            </w:r>
            <w:proofErr w:type="spellEnd"/>
            <w:r w:rsidRPr="00281F30">
              <w:rPr>
                <w:rFonts w:ascii="Times New Roman" w:hAnsi="Times New Roman" w:cs="Times New Roman"/>
              </w:rPr>
              <w:t xml:space="preserve"> or </w:t>
            </w:r>
            <w:proofErr w:type="spellStart"/>
            <w:r w:rsidRPr="00281F30">
              <w:rPr>
                <w:rFonts w:ascii="Times New Roman" w:hAnsi="Times New Roman" w:cs="Times New Roman"/>
              </w:rPr>
              <w:t>guardband</w:t>
            </w:r>
            <w:proofErr w:type="spellEnd"/>
            <w:r w:rsidRPr="00281F30">
              <w:rPr>
                <w:rFonts w:ascii="Times New Roman" w:hAnsi="Times New Roman" w:cs="Times New Roman"/>
              </w:rPr>
              <w:t>(s).</w:t>
            </w:r>
          </w:p>
          <w:p w14:paraId="7B42EC7A" w14:textId="77777777" w:rsidR="00C45B6B" w:rsidRPr="00281F30" w:rsidRDefault="00C45B6B" w:rsidP="00C45B6B">
            <w:pPr>
              <w:pStyle w:val="BodyText"/>
              <w:rPr>
                <w:rFonts w:ascii="Times New Roman" w:hAnsi="Times New Roman" w:cs="Times New Roman"/>
              </w:rPr>
            </w:pPr>
            <w:r w:rsidRPr="00281F30">
              <w:rPr>
                <w:rFonts w:ascii="Times New Roman" w:hAnsi="Times New Roman" w:cs="Times New Roman"/>
              </w:rPr>
              <w:t xml:space="preserve">For semi-static SBFD, a SBFD aware UE does not transmit UL channels/signals or receive DL channels/signals on the </w:t>
            </w:r>
            <w:proofErr w:type="spellStart"/>
            <w:r w:rsidRPr="00281F30">
              <w:rPr>
                <w:rFonts w:ascii="Times New Roman" w:hAnsi="Times New Roman" w:cs="Times New Roman"/>
              </w:rPr>
              <w:t>guardband</w:t>
            </w:r>
            <w:proofErr w:type="spellEnd"/>
            <w:r w:rsidRPr="00281F30">
              <w:rPr>
                <w:rFonts w:ascii="Times New Roman" w:hAnsi="Times New Roman" w:cs="Times New Roman"/>
              </w:rPr>
              <w:t xml:space="preserve">(s) that the UE is aware of. </w:t>
            </w:r>
          </w:p>
          <w:p w14:paraId="2DAB8744" w14:textId="0D2A35AF" w:rsidR="00C45B6B" w:rsidRDefault="00C45B6B" w:rsidP="00C45B6B">
            <w:pPr>
              <w:pStyle w:val="BodyText"/>
            </w:pPr>
            <w:r w:rsidRPr="00281F30">
              <w:rPr>
                <w:rFonts w:ascii="Times New Roman" w:hAnsi="Times New Roman" w:cs="Times New Roman"/>
              </w:rPr>
              <w:t>Furthermore, for the purpose of RAN1 study, the understanding is that for semi-static configuration of subband frequency locations for SBFD operation, frequency location of UL/DL subband is with reference to CRB grid. For semi-static configuration of subband location, same subband frequency resources across different SBFD symbols are considered as baseline.</w:t>
            </w:r>
          </w:p>
        </w:tc>
      </w:tr>
    </w:tbl>
    <w:p w14:paraId="138B2321" w14:textId="2B67F9D6" w:rsidR="004C2E07" w:rsidRDefault="004C2E07" w:rsidP="00B67EFF">
      <w:pPr>
        <w:pStyle w:val="BodyText"/>
        <w:spacing w:before="240"/>
      </w:pPr>
      <w:r>
        <w:lastRenderedPageBreak/>
        <w:t>As stated in the cited section from TR 38.858</w:t>
      </w:r>
      <w:r w:rsidR="00024E41">
        <w:t>,</w:t>
      </w:r>
      <w:r>
        <w:t xml:space="preserve"> the baseline is that the same frequency resources are used across different SBFD symbols. In our view this is a reasonable restriction that </w:t>
      </w:r>
      <w:r w:rsidR="00705E24">
        <w:t xml:space="preserve">simplifies implementation and </w:t>
      </w:r>
      <w:r>
        <w:t>avoids excessive switching between different frequency allocations</w:t>
      </w:r>
      <w:r w:rsidR="004E4DFD">
        <w:t xml:space="preserve"> and associated gNB filter configurations</w:t>
      </w:r>
      <w:r>
        <w:t>.</w:t>
      </w:r>
    </w:p>
    <w:p w14:paraId="4AC1CC75" w14:textId="467E8721" w:rsidR="00024E41" w:rsidRDefault="00024E41" w:rsidP="00281F30">
      <w:pPr>
        <w:pStyle w:val="Proposal"/>
      </w:pPr>
      <w:bookmarkStart w:id="19" w:name="_Toc159244008"/>
      <w:r w:rsidRPr="00024E41">
        <w:t>For semi-static configuration of</w:t>
      </w:r>
      <w:r w:rsidR="00705E24">
        <w:t xml:space="preserve"> a</w:t>
      </w:r>
      <w:r w:rsidRPr="00024E41">
        <w:t xml:space="preserve"> subband </w:t>
      </w:r>
      <w:r w:rsidR="005F7EA3">
        <w:t xml:space="preserve">frequency </w:t>
      </w:r>
      <w:r w:rsidRPr="00024E41">
        <w:t xml:space="preserve">location, </w:t>
      </w:r>
      <w:r w:rsidR="00705E24">
        <w:t xml:space="preserve">the </w:t>
      </w:r>
      <w:r w:rsidRPr="00024E41">
        <w:t xml:space="preserve">same frequency resources across different SBFD symbols </w:t>
      </w:r>
      <w:r>
        <w:t>are used</w:t>
      </w:r>
      <w:r w:rsidRPr="00024E41">
        <w:t>.</w:t>
      </w:r>
      <w:bookmarkEnd w:id="19"/>
    </w:p>
    <w:p w14:paraId="6F419484" w14:textId="4EDFFFB2" w:rsidR="00024E41" w:rsidRDefault="00024E41" w:rsidP="003A4BC0">
      <w:pPr>
        <w:pStyle w:val="BodyText"/>
      </w:pPr>
      <w:r>
        <w:t xml:space="preserve">Regarding the reference for indicating frequency location of UL/DL subbands, we think that the </w:t>
      </w:r>
      <w:r w:rsidR="00D765D9">
        <w:t xml:space="preserve">CRB grid </w:t>
      </w:r>
      <w:r>
        <w:t xml:space="preserve">assumption made in the RAN1 study is a reasonable one and should be used also when </w:t>
      </w:r>
      <w:r w:rsidR="00B27131">
        <w:t xml:space="preserve">the SBFD </w:t>
      </w:r>
      <w:r>
        <w:t>specifications are developed. UL/DL subbands need to be common for all UEs (and even other cells) thus using the CRB grid as reference makes the most sense.</w:t>
      </w:r>
    </w:p>
    <w:p w14:paraId="2ABF5A3D" w14:textId="1E565A6B" w:rsidR="00024E41" w:rsidRDefault="00024E41" w:rsidP="00024E41">
      <w:pPr>
        <w:pStyle w:val="Proposal"/>
      </w:pPr>
      <w:bookmarkStart w:id="20" w:name="_Toc159244009"/>
      <w:r w:rsidRPr="00024E41">
        <w:t xml:space="preserve">For semi-static configuration of subband </w:t>
      </w:r>
      <w:r>
        <w:t xml:space="preserve">frequency </w:t>
      </w:r>
      <w:r w:rsidRPr="00024E41">
        <w:t xml:space="preserve">location, </w:t>
      </w:r>
      <w:r>
        <w:t>the CRB grid is used as reference.</w:t>
      </w:r>
      <w:bookmarkEnd w:id="20"/>
    </w:p>
    <w:p w14:paraId="659D0B08" w14:textId="47CF4C9C" w:rsidR="00024E41" w:rsidRDefault="00793128" w:rsidP="003A4BC0">
      <w:pPr>
        <w:pStyle w:val="BodyText"/>
      </w:pPr>
      <w:r>
        <w:rPr>
          <w:lang w:eastAsia="ja-JP"/>
        </w:rPr>
        <w:t>One approach for indicating the FD information for Rel-19 UEs is to introduce the notion of RB sets with guard bands in between to allow for filter roll off at the gNB and/or UE. Such RB sets and guard</w:t>
      </w:r>
      <w:r w:rsidR="00826A22">
        <w:rPr>
          <w:lang w:eastAsia="ja-JP"/>
        </w:rPr>
        <w:t xml:space="preserve"> </w:t>
      </w:r>
      <w:r>
        <w:rPr>
          <w:lang w:eastAsia="ja-JP"/>
        </w:rPr>
        <w:t xml:space="preserve">bands are very similar to what was specified in Rel-16 for NR-U (see 38.214 Clause 7); however, more flexibility is needed to adjust the size of the RB sets for SBFD operation. </w:t>
      </w:r>
      <w:r>
        <w:rPr>
          <w:lang w:eastAsia="ja-JP"/>
        </w:rPr>
        <w:fldChar w:fldCharType="begin"/>
      </w:r>
      <w:r>
        <w:rPr>
          <w:lang w:eastAsia="ja-JP"/>
        </w:rPr>
        <w:instrText xml:space="preserve"> REF _Ref101858763 \h  \* MERGEFORMAT </w:instrText>
      </w:r>
      <w:r>
        <w:rPr>
          <w:lang w:eastAsia="ja-JP"/>
        </w:rPr>
      </w:r>
      <w:r>
        <w:rPr>
          <w:lang w:eastAsia="ja-JP"/>
        </w:rPr>
        <w:fldChar w:fldCharType="separate"/>
      </w:r>
      <w:r w:rsidR="00D32653" w:rsidRPr="00D32653">
        <w:rPr>
          <w:lang w:eastAsia="ja-JP"/>
        </w:rPr>
        <w:t>Figure 3</w:t>
      </w:r>
      <w:r>
        <w:rPr>
          <w:lang w:val="en-GB" w:eastAsia="ja-JP"/>
        </w:rPr>
        <w:fldChar w:fldCharType="end"/>
      </w:r>
      <w:r>
        <w:rPr>
          <w:lang w:eastAsia="ja-JP"/>
        </w:rPr>
        <w:t xml:space="preserve"> shows two options for achieving such configuration. In Option 1, the starting RB and number of RBs is provided for each RB set as well as the transmission direction </w:t>
      </w:r>
      <w:r w:rsidR="00EE5F54">
        <w:rPr>
          <w:lang w:eastAsia="ja-JP"/>
        </w:rPr>
        <w:t>DL</w:t>
      </w:r>
      <w:r>
        <w:rPr>
          <w:lang w:eastAsia="ja-JP"/>
        </w:rPr>
        <w:t xml:space="preserve"> or </w:t>
      </w:r>
      <w:r w:rsidR="00EE5F54">
        <w:rPr>
          <w:lang w:eastAsia="ja-JP"/>
        </w:rPr>
        <w:t>UL</w:t>
      </w:r>
      <w:r>
        <w:rPr>
          <w:lang w:eastAsia="ja-JP"/>
        </w:rPr>
        <w:t>. The guard</w:t>
      </w:r>
      <w:r w:rsidR="00826A22">
        <w:rPr>
          <w:lang w:eastAsia="ja-JP"/>
        </w:rPr>
        <w:t xml:space="preserve"> </w:t>
      </w:r>
      <w:r>
        <w:rPr>
          <w:lang w:eastAsia="ja-JP"/>
        </w:rPr>
        <w:t xml:space="preserve">band sizes can be implicitly determined as whatever RBs are not indicated to be part of an RB set. In Option 2, it is recognized that it is only necessary to indicate the size and position of the </w:t>
      </w:r>
      <w:r w:rsidR="00EE5F54">
        <w:rPr>
          <w:lang w:eastAsia="ja-JP"/>
        </w:rPr>
        <w:t>UL</w:t>
      </w:r>
      <w:r>
        <w:rPr>
          <w:lang w:eastAsia="ja-JP"/>
        </w:rPr>
        <w:t xml:space="preserve"> RB set and the size of the guard</w:t>
      </w:r>
      <w:r w:rsidR="00826A22">
        <w:rPr>
          <w:lang w:eastAsia="ja-JP"/>
        </w:rPr>
        <w:t xml:space="preserve"> </w:t>
      </w:r>
      <w:r>
        <w:rPr>
          <w:lang w:eastAsia="ja-JP"/>
        </w:rPr>
        <w:t xml:space="preserve">bands. The remaining RBs are then implicitly determined to be </w:t>
      </w:r>
      <w:r w:rsidR="00EE5F54">
        <w:rPr>
          <w:lang w:eastAsia="ja-JP"/>
        </w:rPr>
        <w:t>DL</w:t>
      </w:r>
      <w:r>
        <w:rPr>
          <w:lang w:eastAsia="ja-JP"/>
        </w:rPr>
        <w:t xml:space="preserve"> RB sets</w:t>
      </w:r>
      <w:r w:rsidR="00EE5F54">
        <w:rPr>
          <w:lang w:eastAsia="ja-JP"/>
        </w:rPr>
        <w:t>.</w:t>
      </w:r>
      <w:r>
        <w:t xml:space="preserve"> </w:t>
      </w:r>
      <w:r>
        <w:rPr>
          <w:lang w:eastAsia="ja-JP"/>
        </w:rPr>
        <w:t xml:space="preserve">These two options are captured </w:t>
      </w:r>
      <w:r>
        <w:t>in</w:t>
      </w:r>
      <w:r w:rsidR="005677A4">
        <w:t xml:space="preserve"> </w:t>
      </w:r>
      <w:r w:rsidR="00B953BF">
        <w:t>TR 38.858.</w:t>
      </w:r>
    </w:p>
    <w:p w14:paraId="08B350B4" w14:textId="77777777" w:rsidR="00793128" w:rsidRDefault="00793128" w:rsidP="003A4BC0">
      <w:pPr>
        <w:pStyle w:val="BodyText"/>
      </w:pPr>
    </w:p>
    <w:p w14:paraId="3D874287" w14:textId="172DEB2D" w:rsidR="00793128" w:rsidRDefault="00793128" w:rsidP="00793128">
      <w:pPr>
        <w:jc w:val="center"/>
        <w:rPr>
          <w:lang w:eastAsia="ja-JP"/>
        </w:rPr>
      </w:pPr>
      <w:r>
        <w:rPr>
          <w:noProof/>
          <w:lang w:eastAsia="ja-JP"/>
        </w:rPr>
        <w:drawing>
          <wp:inline distT="0" distB="0" distL="0" distR="0" wp14:anchorId="70D52F5F" wp14:editId="27241C46">
            <wp:extent cx="5486400" cy="1689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689100"/>
                    </a:xfrm>
                    <a:prstGeom prst="rect">
                      <a:avLst/>
                    </a:prstGeom>
                    <a:noFill/>
                    <a:ln>
                      <a:noFill/>
                    </a:ln>
                  </pic:spPr>
                </pic:pic>
              </a:graphicData>
            </a:graphic>
          </wp:inline>
        </w:drawing>
      </w:r>
    </w:p>
    <w:p w14:paraId="7B69A04E" w14:textId="505E97FC" w:rsidR="00793128" w:rsidRDefault="00793128" w:rsidP="00E7135D">
      <w:pPr>
        <w:jc w:val="center"/>
        <w:rPr>
          <w:b/>
          <w:lang w:eastAsia="ja-JP"/>
        </w:rPr>
      </w:pPr>
      <w:bookmarkStart w:id="21" w:name="_Ref101858763"/>
      <w:r>
        <w:rPr>
          <w:b/>
          <w:lang w:eastAsia="ja-JP"/>
        </w:rPr>
        <w:t xml:space="preserve">Figure </w:t>
      </w:r>
      <w:r>
        <w:fldChar w:fldCharType="begin"/>
      </w:r>
      <w:r>
        <w:rPr>
          <w:b/>
          <w:lang w:eastAsia="ja-JP"/>
        </w:rPr>
        <w:instrText xml:space="preserve"> SEQ Figure \* ARABIC </w:instrText>
      </w:r>
      <w:r>
        <w:fldChar w:fldCharType="separate"/>
      </w:r>
      <w:r w:rsidR="00D32653">
        <w:rPr>
          <w:b/>
          <w:noProof/>
          <w:lang w:eastAsia="ja-JP"/>
        </w:rPr>
        <w:t>3</w:t>
      </w:r>
      <w:r>
        <w:fldChar w:fldCharType="end"/>
      </w:r>
      <w:bookmarkEnd w:id="21"/>
      <w:r>
        <w:rPr>
          <w:b/>
          <w:lang w:eastAsia="ja-JP"/>
        </w:rPr>
        <w:t>: Options for RB set and guard band configuration in SBFD symbols.</w:t>
      </w:r>
    </w:p>
    <w:p w14:paraId="39E230DB" w14:textId="77777777" w:rsidR="00487520" w:rsidRDefault="00487520" w:rsidP="00487520">
      <w:pPr>
        <w:jc w:val="both"/>
        <w:rPr>
          <w:lang w:eastAsia="ja-JP"/>
        </w:rPr>
      </w:pPr>
      <w:r>
        <w:rPr>
          <w:lang w:eastAsia="ja-JP"/>
        </w:rPr>
        <w:t xml:space="preserve">According to TR 38.858, both options are viable, which is true. However, Option 1 where the DL subbands are explicitly configured may have some advantages when it comes to implementing agreements in the </w:t>
      </w:r>
      <w:r>
        <w:rPr>
          <w:lang w:eastAsia="ja-JP"/>
        </w:rPr>
        <w:lastRenderedPageBreak/>
        <w:t xml:space="preserve">specification, e.g., 38.213 Section 11 where UE behavior related to slot format is specified. We think is </w:t>
      </w:r>
      <w:proofErr w:type="spellStart"/>
      <w:r>
        <w:rPr>
          <w:lang w:eastAsia="ja-JP"/>
        </w:rPr>
        <w:t>is</w:t>
      </w:r>
      <w:proofErr w:type="spellEnd"/>
      <w:r>
        <w:rPr>
          <w:lang w:eastAsia="ja-JP"/>
        </w:rPr>
        <w:t xml:space="preserve"> advantageous to have explicit definitions of UL and DL subbands and reusing the RB set concept from Rel-16 is a good starting point for the discussion.</w:t>
      </w:r>
    </w:p>
    <w:p w14:paraId="35790F69" w14:textId="77777777" w:rsidR="00487520" w:rsidRDefault="00487520" w:rsidP="00487520">
      <w:pPr>
        <w:pStyle w:val="Observation"/>
      </w:pPr>
      <w:bookmarkStart w:id="22" w:name="_Toc159243983"/>
      <w:r>
        <w:t>Specification work may be simplified by explicitly specifying DL subbands instead of guard bands for semi-static frequency domain configurations.</w:t>
      </w:r>
      <w:bookmarkEnd w:id="22"/>
      <w:r>
        <w:t xml:space="preserve"> </w:t>
      </w:r>
    </w:p>
    <w:p w14:paraId="18A00716" w14:textId="6B31DD58" w:rsidR="0052577D" w:rsidRDefault="00487520" w:rsidP="00487520">
      <w:pPr>
        <w:pStyle w:val="Proposal"/>
      </w:pPr>
      <w:bookmarkStart w:id="23" w:name="_Toc134802272"/>
      <w:bookmarkStart w:id="24" w:name="_Toc159244010"/>
      <w:r>
        <w:t>Support Option 1 in TR 38.858 on DL subband configuration: within an SBFD symbol, a single UL subband and one or two DL subband(s) are explicitly configured as RB sets, each with configurable size/location, within a carrier.</w:t>
      </w:r>
      <w:bookmarkEnd w:id="23"/>
      <w:bookmarkEnd w:id="24"/>
    </w:p>
    <w:p w14:paraId="748D8637" w14:textId="0D3B11AE" w:rsidR="00666DE9" w:rsidRDefault="00230D18" w:rsidP="00B67EFF">
      <w:pPr>
        <w:pStyle w:val="Heading2"/>
        <w:ind w:left="0" w:firstLine="0"/>
      </w:pPr>
      <w:r>
        <w:t>2.</w:t>
      </w:r>
      <w:r w:rsidR="000F7775">
        <w:t>4</w:t>
      </w:r>
      <w:r w:rsidR="00CB360B">
        <w:t xml:space="preserve"> </w:t>
      </w:r>
      <w:r w:rsidR="00666DE9">
        <w:t xml:space="preserve">UL/DL time alignment aspects </w:t>
      </w:r>
    </w:p>
    <w:p w14:paraId="38BC991F" w14:textId="4EB5CB72" w:rsidR="0024606D" w:rsidRDefault="0024606D">
      <w:pPr>
        <w:jc w:val="both"/>
        <w:rPr>
          <w:lang w:val="en-GB" w:eastAsia="ja-JP"/>
        </w:rPr>
      </w:pPr>
      <w:proofErr w:type="gramStart"/>
      <w:r>
        <w:rPr>
          <w:lang w:val="en-GB" w:eastAsia="ja-JP"/>
        </w:rPr>
        <w:t>In order to</w:t>
      </w:r>
      <w:proofErr w:type="gramEnd"/>
      <w:r>
        <w:rPr>
          <w:lang w:val="en-GB" w:eastAsia="ja-JP"/>
        </w:rPr>
        <w:t xml:space="preserve"> allow the </w:t>
      </w:r>
      <w:proofErr w:type="spellStart"/>
      <w:r>
        <w:rPr>
          <w:lang w:val="en-GB" w:eastAsia="ja-JP"/>
        </w:rPr>
        <w:t>gNB</w:t>
      </w:r>
      <w:proofErr w:type="spellEnd"/>
      <w:r>
        <w:rPr>
          <w:lang w:val="en-GB" w:eastAsia="ja-JP"/>
        </w:rPr>
        <w:t xml:space="preserve"> to switch between </w:t>
      </w:r>
      <w:r w:rsidR="00E802DC">
        <w:rPr>
          <w:lang w:val="en-GB" w:eastAsia="ja-JP"/>
        </w:rPr>
        <w:t xml:space="preserve">legacy </w:t>
      </w:r>
      <w:r>
        <w:rPr>
          <w:lang w:val="en-GB" w:eastAsia="ja-JP"/>
        </w:rPr>
        <w:t xml:space="preserve">DL operation and SBFD </w:t>
      </w:r>
      <w:r w:rsidR="00E802DC">
        <w:rPr>
          <w:lang w:val="en-GB" w:eastAsia="ja-JP"/>
        </w:rPr>
        <w:t xml:space="preserve">UL </w:t>
      </w:r>
      <w:proofErr w:type="spellStart"/>
      <w:r w:rsidR="00E802DC">
        <w:rPr>
          <w:lang w:val="en-GB" w:eastAsia="ja-JP"/>
        </w:rPr>
        <w:t>subband</w:t>
      </w:r>
      <w:proofErr w:type="spellEnd"/>
      <w:r w:rsidR="00E802DC">
        <w:rPr>
          <w:lang w:val="en-GB" w:eastAsia="ja-JP"/>
        </w:rPr>
        <w:t xml:space="preserve"> operation</w:t>
      </w:r>
      <w:r>
        <w:rPr>
          <w:lang w:val="en-GB" w:eastAsia="ja-JP"/>
        </w:rPr>
        <w:t>, it is necessary to introduce a guard period</w:t>
      </w:r>
      <w:r w:rsidR="009C50AE">
        <w:rPr>
          <w:lang w:val="en-GB" w:eastAsia="ja-JP"/>
        </w:rPr>
        <w:t xml:space="preserve"> to allow for switching between different RF configurations in the </w:t>
      </w:r>
      <w:proofErr w:type="spellStart"/>
      <w:r w:rsidR="009C50AE">
        <w:rPr>
          <w:lang w:val="en-GB" w:eastAsia="ja-JP"/>
        </w:rPr>
        <w:t>gNB</w:t>
      </w:r>
      <w:proofErr w:type="spellEnd"/>
      <w:r w:rsidR="002D58CD">
        <w:rPr>
          <w:lang w:val="en-GB" w:eastAsia="ja-JP"/>
        </w:rPr>
        <w:t xml:space="preserve">, see </w:t>
      </w:r>
      <w:r w:rsidR="002D58CD">
        <w:rPr>
          <w:lang w:val="en-GB" w:eastAsia="ja-JP"/>
        </w:rPr>
        <w:fldChar w:fldCharType="begin"/>
      </w:r>
      <w:r w:rsidR="002D58CD">
        <w:rPr>
          <w:lang w:val="en-GB" w:eastAsia="ja-JP"/>
        </w:rPr>
        <w:instrText xml:space="preserve"> REF _Ref158374443 \h </w:instrText>
      </w:r>
      <w:r w:rsidR="002D58CD">
        <w:rPr>
          <w:lang w:val="en-GB" w:eastAsia="ja-JP"/>
        </w:rPr>
      </w:r>
      <w:r w:rsidR="002D58CD">
        <w:rPr>
          <w:lang w:val="en-GB" w:eastAsia="ja-JP"/>
        </w:rPr>
        <w:fldChar w:fldCharType="separate"/>
      </w:r>
      <w:r w:rsidR="00D32653">
        <w:t xml:space="preserve">Figure </w:t>
      </w:r>
      <w:r w:rsidR="00D32653">
        <w:rPr>
          <w:noProof/>
        </w:rPr>
        <w:t>4</w:t>
      </w:r>
      <w:r w:rsidR="002D58CD">
        <w:rPr>
          <w:lang w:val="en-GB" w:eastAsia="ja-JP"/>
        </w:rPr>
        <w:fldChar w:fldCharType="end"/>
      </w:r>
      <w:r>
        <w:rPr>
          <w:lang w:val="en-GB" w:eastAsia="ja-JP"/>
        </w:rPr>
        <w:t xml:space="preserve">. </w:t>
      </w:r>
      <w:r w:rsidR="002D58CD">
        <w:rPr>
          <w:lang w:val="en-GB" w:eastAsia="ja-JP"/>
        </w:rPr>
        <w:t>In our view, t</w:t>
      </w:r>
      <w:r>
        <w:rPr>
          <w:lang w:val="en-GB" w:eastAsia="ja-JP"/>
        </w:rPr>
        <w:t xml:space="preserve">he guard period </w:t>
      </w:r>
      <w:r w:rsidR="00196AAB">
        <w:rPr>
          <w:lang w:val="en-GB" w:eastAsia="ja-JP"/>
        </w:rPr>
        <w:t>preceding the UL subband</w:t>
      </w:r>
      <w:r>
        <w:rPr>
          <w:lang w:val="en-GB" w:eastAsia="ja-JP"/>
        </w:rPr>
        <w:t xml:space="preserve"> can be introduced in two ways; either by </w:t>
      </w:r>
      <w:r w:rsidR="00E802DC">
        <w:rPr>
          <w:lang w:val="en-GB" w:eastAsia="ja-JP"/>
        </w:rPr>
        <w:t>introduction of flexible symbols, as is the case in legacy DL-to-UL transitioning</w:t>
      </w:r>
      <w:r w:rsidR="000F5B09">
        <w:rPr>
          <w:lang w:val="en-GB" w:eastAsia="ja-JP"/>
        </w:rPr>
        <w:t xml:space="preserve"> by configuring dual TDD patterns</w:t>
      </w:r>
      <w:r w:rsidR="00196AAB">
        <w:rPr>
          <w:lang w:val="en-GB" w:eastAsia="ja-JP"/>
        </w:rPr>
        <w:t xml:space="preserve"> or configuring the whole UL subband as flexible symbols</w:t>
      </w:r>
      <w:r w:rsidR="00E802DC">
        <w:rPr>
          <w:lang w:val="en-GB" w:eastAsia="ja-JP"/>
        </w:rPr>
        <w:t>, or by scheduling, in which case the scheduler needs to continuously ascertain the guard period.</w:t>
      </w:r>
      <w:r w:rsidR="002D58CD">
        <w:rPr>
          <w:lang w:val="en-GB" w:eastAsia="ja-JP"/>
        </w:rPr>
        <w:t xml:space="preserve"> Since NR already supports both alternatives, </w:t>
      </w:r>
      <w:r w:rsidR="00196AAB">
        <w:rPr>
          <w:lang w:val="en-GB" w:eastAsia="ja-JP"/>
        </w:rPr>
        <w:t xml:space="preserve">it is our understanding that there is no need to specify </w:t>
      </w:r>
      <w:r w:rsidR="002D58CD">
        <w:rPr>
          <w:lang w:val="en-GB" w:eastAsia="ja-JP"/>
        </w:rPr>
        <w:t>additional guard periods</w:t>
      </w:r>
      <w:r w:rsidR="00E802DC">
        <w:rPr>
          <w:lang w:val="en-GB" w:eastAsia="ja-JP"/>
        </w:rPr>
        <w:t>.</w:t>
      </w:r>
      <w:r w:rsidR="00174D2D">
        <w:rPr>
          <w:lang w:val="en-GB" w:eastAsia="ja-JP"/>
        </w:rPr>
        <w:t xml:space="preserve"> It should be noted though, that the guard period from a DL symbol to an UL subband symbol will need to consider propagation delay and timing mismatches between gNBs </w:t>
      </w:r>
      <w:proofErr w:type="gramStart"/>
      <w:r w:rsidR="00174D2D">
        <w:rPr>
          <w:lang w:val="en-GB" w:eastAsia="ja-JP"/>
        </w:rPr>
        <w:t>in order to</w:t>
      </w:r>
      <w:proofErr w:type="gramEnd"/>
      <w:r w:rsidR="00174D2D">
        <w:rPr>
          <w:lang w:val="en-GB" w:eastAsia="ja-JP"/>
        </w:rPr>
        <w:t xml:space="preserve"> avoid </w:t>
      </w:r>
      <w:r w:rsidR="00060F42">
        <w:rPr>
          <w:lang w:val="en-GB" w:eastAsia="ja-JP"/>
        </w:rPr>
        <w:t>(potentially distant)</w:t>
      </w:r>
      <w:r w:rsidR="00174D2D">
        <w:rPr>
          <w:lang w:val="en-GB" w:eastAsia="ja-JP"/>
        </w:rPr>
        <w:t xml:space="preserve"> </w:t>
      </w:r>
      <w:proofErr w:type="spellStart"/>
      <w:r w:rsidR="00174D2D">
        <w:rPr>
          <w:lang w:val="en-GB" w:eastAsia="ja-JP"/>
        </w:rPr>
        <w:t>gNB's</w:t>
      </w:r>
      <w:proofErr w:type="spellEnd"/>
      <w:r w:rsidR="00174D2D">
        <w:rPr>
          <w:lang w:val="en-GB" w:eastAsia="ja-JP"/>
        </w:rPr>
        <w:t xml:space="preserve"> DL</w:t>
      </w:r>
      <w:r w:rsidR="00060F42">
        <w:rPr>
          <w:lang w:val="en-GB" w:eastAsia="ja-JP"/>
        </w:rPr>
        <w:t xml:space="preserve"> </w:t>
      </w:r>
      <w:r w:rsidR="00174D2D">
        <w:rPr>
          <w:lang w:val="en-GB" w:eastAsia="ja-JP"/>
        </w:rPr>
        <w:t xml:space="preserve">transmissions </w:t>
      </w:r>
      <w:r w:rsidR="00060F42">
        <w:rPr>
          <w:lang w:val="en-GB" w:eastAsia="ja-JP"/>
        </w:rPr>
        <w:t>interfering with</w:t>
      </w:r>
      <w:r w:rsidR="00174D2D">
        <w:rPr>
          <w:lang w:val="en-GB" w:eastAsia="ja-JP"/>
        </w:rPr>
        <w:t xml:space="preserve"> the UL subband. This could amount for several µs since timing mismatch alone can be 3µs</w:t>
      </w:r>
      <w:r w:rsidR="000718B1">
        <w:rPr>
          <w:lang w:val="en-GB" w:eastAsia="ja-JP"/>
        </w:rPr>
        <w:t xml:space="preserve"> and is a strong reason why the number of guard periods should be kept at a minimum</w:t>
      </w:r>
      <w:r w:rsidR="00174D2D">
        <w:rPr>
          <w:lang w:val="en-GB" w:eastAsia="ja-JP"/>
        </w:rPr>
        <w:t>.</w:t>
      </w:r>
    </w:p>
    <w:p w14:paraId="08135F81" w14:textId="569D7B7E" w:rsidR="000930D1" w:rsidRDefault="00661F65" w:rsidP="002A049B">
      <w:pPr>
        <w:keepNext/>
        <w:jc w:val="center"/>
      </w:pPr>
      <w:r>
        <w:rPr>
          <w:noProof/>
        </w:rPr>
        <w:drawing>
          <wp:inline distT="0" distB="0" distL="0" distR="0" wp14:anchorId="638074AC" wp14:editId="24CFBA09">
            <wp:extent cx="3341370" cy="2332990"/>
            <wp:effectExtent l="0" t="0" r="0" b="3810"/>
            <wp:docPr id="10" name="Picture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1370" cy="2332990"/>
                    </a:xfrm>
                    <a:prstGeom prst="rect">
                      <a:avLst/>
                    </a:prstGeom>
                    <a:noFill/>
                    <a:ln>
                      <a:noFill/>
                    </a:ln>
                  </pic:spPr>
                </pic:pic>
              </a:graphicData>
            </a:graphic>
          </wp:inline>
        </w:drawing>
      </w:r>
    </w:p>
    <w:p w14:paraId="13A4CB6A" w14:textId="7743D287" w:rsidR="000930D1" w:rsidRDefault="000930D1" w:rsidP="002A049B">
      <w:pPr>
        <w:pStyle w:val="Caption"/>
        <w:jc w:val="center"/>
        <w:rPr>
          <w:lang w:val="en-GB" w:eastAsia="ja-JP"/>
        </w:rPr>
      </w:pPr>
      <w:bookmarkStart w:id="25" w:name="_Ref158374443"/>
      <w:r>
        <w:t xml:space="preserve">Figure </w:t>
      </w:r>
      <w:r>
        <w:fldChar w:fldCharType="begin"/>
      </w:r>
      <w:r>
        <w:instrText xml:space="preserve"> SEQ Figure \* ARABIC </w:instrText>
      </w:r>
      <w:r>
        <w:fldChar w:fldCharType="separate"/>
      </w:r>
      <w:r w:rsidR="00D32653">
        <w:rPr>
          <w:noProof/>
        </w:rPr>
        <w:t>4</w:t>
      </w:r>
      <w:r>
        <w:fldChar w:fldCharType="end"/>
      </w:r>
      <w:bookmarkEnd w:id="25"/>
      <w:r>
        <w:t>: Example of guard period</w:t>
      </w:r>
      <w:r>
        <w:rPr>
          <w:noProof/>
        </w:rPr>
        <w:t xml:space="preserve"> implementation.</w:t>
      </w:r>
    </w:p>
    <w:p w14:paraId="03FA49EC" w14:textId="5740760E" w:rsidR="00E33511" w:rsidRPr="00060F42" w:rsidRDefault="009C50AE" w:rsidP="00B67EFF">
      <w:pPr>
        <w:jc w:val="both"/>
        <w:rPr>
          <w:lang w:eastAsia="ja-JP"/>
        </w:rPr>
      </w:pPr>
      <w:r>
        <w:rPr>
          <w:lang w:val="en-GB" w:eastAsia="ja-JP"/>
        </w:rPr>
        <w:t xml:space="preserve">The WID is clear that half duplex is assumed for the UE side. </w:t>
      </w:r>
      <w:r w:rsidR="00982D0D">
        <w:rPr>
          <w:lang w:val="en-GB" w:eastAsia="ja-JP"/>
        </w:rPr>
        <w:t>Clearly, UL subband timing is separate from DL timing, the question is whether UL subband timing is the same as for UL slot timing</w:t>
      </w:r>
      <w:r w:rsidR="009572F9">
        <w:rPr>
          <w:lang w:val="en-GB" w:eastAsia="ja-JP"/>
        </w:rPr>
        <w:t xml:space="preserve"> or not</w:t>
      </w:r>
      <w:r w:rsidR="00982D0D">
        <w:rPr>
          <w:lang w:val="en-GB" w:eastAsia="ja-JP"/>
        </w:rPr>
        <w:t xml:space="preserve">. In our view, shared timing would simplify implementation in both gNB and UE, since all timing alignment functionality </w:t>
      </w:r>
      <w:r w:rsidR="00487520">
        <w:rPr>
          <w:lang w:val="en-GB" w:eastAsia="ja-JP"/>
        </w:rPr>
        <w:t>would</w:t>
      </w:r>
      <w:r w:rsidR="00982D0D">
        <w:rPr>
          <w:lang w:val="en-GB" w:eastAsia="ja-JP"/>
        </w:rPr>
        <w:t xml:space="preserve"> already </w:t>
      </w:r>
      <w:r w:rsidR="00487520">
        <w:rPr>
          <w:lang w:val="en-GB" w:eastAsia="ja-JP"/>
        </w:rPr>
        <w:t xml:space="preserve">be </w:t>
      </w:r>
      <w:r w:rsidR="00982D0D">
        <w:rPr>
          <w:lang w:val="en-GB" w:eastAsia="ja-JP"/>
        </w:rPr>
        <w:t>in place.</w:t>
      </w:r>
      <w:r w:rsidR="009572F9">
        <w:rPr>
          <w:lang w:val="en-GB" w:eastAsia="ja-JP"/>
        </w:rPr>
        <w:t xml:space="preserve"> </w:t>
      </w:r>
      <w:r w:rsidR="00063C67">
        <w:rPr>
          <w:lang w:val="en-GB" w:eastAsia="ja-JP"/>
        </w:rPr>
        <w:t xml:space="preserve">A counter argument to that is that slightly better reception would be possible if DL and UL symbols are synchronized a the gNB, i.e., </w:t>
      </w:r>
      <w:proofErr w:type="spellStart"/>
      <w:proofErr w:type="gramStart"/>
      <w:r w:rsidR="00063C67">
        <w:rPr>
          <w:lang w:val="en-GB" w:eastAsia="ja-JP"/>
        </w:rPr>
        <w:t>N</w:t>
      </w:r>
      <w:r w:rsidR="00063C67" w:rsidRPr="009572F9">
        <w:rPr>
          <w:vertAlign w:val="subscript"/>
          <w:lang w:val="en-GB" w:eastAsia="ja-JP"/>
        </w:rPr>
        <w:t>TA</w:t>
      </w:r>
      <w:r w:rsidR="00063C67">
        <w:rPr>
          <w:vertAlign w:val="subscript"/>
          <w:lang w:val="en-GB" w:eastAsia="ja-JP"/>
        </w:rPr>
        <w:t>,offset</w:t>
      </w:r>
      <w:proofErr w:type="spellEnd"/>
      <w:proofErr w:type="gramEnd"/>
      <w:r w:rsidR="00063C67">
        <w:rPr>
          <w:lang w:val="en-GB" w:eastAsia="ja-JP"/>
        </w:rPr>
        <w:t xml:space="preserve"> = 0. </w:t>
      </w:r>
      <w:r w:rsidR="00487520">
        <w:rPr>
          <w:lang w:val="en-GB" w:eastAsia="ja-JP"/>
        </w:rPr>
        <w:t>L</w:t>
      </w:r>
      <w:r w:rsidR="009572F9">
        <w:rPr>
          <w:lang w:val="en-GB" w:eastAsia="ja-JP"/>
        </w:rPr>
        <w:t xml:space="preserve">egacy timing already </w:t>
      </w:r>
      <w:r w:rsidR="00C65746">
        <w:rPr>
          <w:lang w:val="en-GB" w:eastAsia="ja-JP"/>
        </w:rPr>
        <w:t>supports</w:t>
      </w:r>
      <w:r w:rsidR="009572F9">
        <w:rPr>
          <w:lang w:val="en-GB" w:eastAsia="ja-JP"/>
        </w:rPr>
        <w:t xml:space="preserve"> the </w:t>
      </w:r>
      <w:r w:rsidR="00487520">
        <w:rPr>
          <w:lang w:val="en-GB" w:eastAsia="ja-JP"/>
        </w:rPr>
        <w:t>option</w:t>
      </w:r>
      <w:r w:rsidR="009572F9">
        <w:rPr>
          <w:lang w:val="en-GB" w:eastAsia="ja-JP"/>
        </w:rPr>
        <w:t xml:space="preserve"> to set </w:t>
      </w:r>
      <w:proofErr w:type="spellStart"/>
      <w:proofErr w:type="gramStart"/>
      <w:r w:rsidR="009572F9">
        <w:rPr>
          <w:lang w:val="en-GB" w:eastAsia="ja-JP"/>
        </w:rPr>
        <w:t>N</w:t>
      </w:r>
      <w:r w:rsidR="009572F9" w:rsidRPr="009572F9">
        <w:rPr>
          <w:vertAlign w:val="subscript"/>
          <w:lang w:val="en-GB" w:eastAsia="ja-JP"/>
        </w:rPr>
        <w:t>TA</w:t>
      </w:r>
      <w:r w:rsidR="00E5007F">
        <w:rPr>
          <w:vertAlign w:val="subscript"/>
          <w:lang w:val="en-GB" w:eastAsia="ja-JP"/>
        </w:rPr>
        <w:t>,offset</w:t>
      </w:r>
      <w:proofErr w:type="spellEnd"/>
      <w:proofErr w:type="gramEnd"/>
      <w:r w:rsidR="009572F9">
        <w:rPr>
          <w:lang w:val="en-GB" w:eastAsia="ja-JP"/>
        </w:rPr>
        <w:t xml:space="preserve"> = 0 such that DL and UL timing are aligned at the gNB</w:t>
      </w:r>
      <w:r w:rsidR="00E5007F">
        <w:rPr>
          <w:lang w:val="en-GB" w:eastAsia="ja-JP"/>
        </w:rPr>
        <w:t xml:space="preserve">, in fact it is one of the three values that can be provided in </w:t>
      </w:r>
      <w:r w:rsidR="00E5007F" w:rsidRPr="00E5007F">
        <w:rPr>
          <w:i/>
          <w:iCs/>
          <w:lang w:val="en-GB" w:eastAsia="ja-JP"/>
        </w:rPr>
        <w:t>n-</w:t>
      </w:r>
      <w:proofErr w:type="spellStart"/>
      <w:r w:rsidR="00E5007F" w:rsidRPr="00E5007F">
        <w:rPr>
          <w:i/>
          <w:iCs/>
          <w:lang w:val="en-GB" w:eastAsia="ja-JP"/>
        </w:rPr>
        <w:t>TimingAdvanceOffset</w:t>
      </w:r>
      <w:proofErr w:type="spellEnd"/>
      <w:r w:rsidR="00E5007F">
        <w:rPr>
          <w:lang w:val="en-GB" w:eastAsia="ja-JP"/>
        </w:rPr>
        <w:t xml:space="preserve"> in SIB</w:t>
      </w:r>
      <w:r w:rsidR="009572F9">
        <w:rPr>
          <w:lang w:val="en-GB" w:eastAsia="ja-JP"/>
        </w:rPr>
        <w:t>.</w:t>
      </w:r>
      <w:r w:rsidR="00982D0D">
        <w:rPr>
          <w:lang w:val="en-GB" w:eastAsia="ja-JP"/>
        </w:rPr>
        <w:t xml:space="preserve"> Specifying additional functionality is not justified for little or no gain. Hence, </w:t>
      </w:r>
      <w:r w:rsidR="004F61A6">
        <w:rPr>
          <w:lang w:val="en-GB" w:eastAsia="ja-JP"/>
        </w:rPr>
        <w:t xml:space="preserve">DL and UL timing in the UL subband </w:t>
      </w:r>
      <w:r w:rsidR="00982D0D">
        <w:rPr>
          <w:lang w:val="en-GB" w:eastAsia="ja-JP"/>
        </w:rPr>
        <w:t>should</w:t>
      </w:r>
      <w:r w:rsidR="004F61A6">
        <w:rPr>
          <w:lang w:val="en-GB" w:eastAsia="ja-JP"/>
        </w:rPr>
        <w:t xml:space="preserve"> adhere to the </w:t>
      </w:r>
      <w:r w:rsidR="00982D0D">
        <w:rPr>
          <w:lang w:val="en-GB" w:eastAsia="ja-JP"/>
        </w:rPr>
        <w:t xml:space="preserve">legacy </w:t>
      </w:r>
      <w:r w:rsidR="004F61A6">
        <w:rPr>
          <w:lang w:val="en-GB" w:eastAsia="ja-JP"/>
        </w:rPr>
        <w:t xml:space="preserve">timing of respective transmission direction, i.e., DL slots adhere to DL </w:t>
      </w:r>
      <w:r w:rsidR="005F1FE1">
        <w:rPr>
          <w:lang w:val="en-GB" w:eastAsia="ja-JP"/>
        </w:rPr>
        <w:t xml:space="preserve">frame </w:t>
      </w:r>
      <w:r w:rsidR="004F61A6">
        <w:rPr>
          <w:lang w:val="en-GB" w:eastAsia="ja-JP"/>
        </w:rPr>
        <w:t>timing</w:t>
      </w:r>
      <w:r w:rsidR="005F1FE1">
        <w:rPr>
          <w:lang w:val="en-GB" w:eastAsia="ja-JP"/>
        </w:rPr>
        <w:t xml:space="preserve"> as provided by SSB</w:t>
      </w:r>
      <w:r w:rsidR="004F61A6">
        <w:rPr>
          <w:lang w:val="en-GB" w:eastAsia="ja-JP"/>
        </w:rPr>
        <w:t xml:space="preserve"> and UL slots adhere to UL </w:t>
      </w:r>
      <w:r w:rsidR="005F1FE1">
        <w:rPr>
          <w:lang w:val="en-GB" w:eastAsia="ja-JP"/>
        </w:rPr>
        <w:t xml:space="preserve">frame </w:t>
      </w:r>
      <w:r w:rsidR="004F61A6">
        <w:rPr>
          <w:lang w:val="en-GB" w:eastAsia="ja-JP"/>
        </w:rPr>
        <w:t>timing</w:t>
      </w:r>
      <w:r w:rsidR="005F1FE1">
        <w:rPr>
          <w:lang w:val="en-GB" w:eastAsia="ja-JP"/>
        </w:rPr>
        <w:t xml:space="preserve"> as provided by TA</w:t>
      </w:r>
      <w:r w:rsidR="004F61A6">
        <w:rPr>
          <w:lang w:val="en-GB" w:eastAsia="ja-JP"/>
        </w:rPr>
        <w:t>.</w:t>
      </w:r>
    </w:p>
    <w:p w14:paraId="30857D91" w14:textId="33712B9B" w:rsidR="00060F42" w:rsidRDefault="00060F42" w:rsidP="00BC7758">
      <w:pPr>
        <w:pStyle w:val="Observation"/>
        <w:rPr>
          <w:lang w:val="en-GB"/>
        </w:rPr>
      </w:pPr>
      <w:bookmarkStart w:id="26" w:name="_Toc159243984"/>
      <w:r>
        <w:rPr>
          <w:lang w:val="en-GB"/>
        </w:rPr>
        <w:t xml:space="preserve">The guard period between DL symbol and SBFD symbol must account for delayed DL </w:t>
      </w:r>
      <w:r w:rsidR="005725BA">
        <w:rPr>
          <w:lang w:val="en-GB"/>
        </w:rPr>
        <w:t xml:space="preserve">symbols </w:t>
      </w:r>
      <w:r>
        <w:rPr>
          <w:lang w:val="en-GB"/>
        </w:rPr>
        <w:t>from potentially distant gNB.</w:t>
      </w:r>
      <w:bookmarkEnd w:id="26"/>
    </w:p>
    <w:p w14:paraId="5E98B064" w14:textId="5EFDED19" w:rsidR="002D58CD" w:rsidRDefault="002D58CD" w:rsidP="00BC7758">
      <w:pPr>
        <w:pStyle w:val="Observation"/>
        <w:rPr>
          <w:lang w:val="en-GB"/>
        </w:rPr>
      </w:pPr>
      <w:bookmarkStart w:id="27" w:name="_Toc159243985"/>
      <w:r>
        <w:rPr>
          <w:lang w:val="en-GB"/>
        </w:rPr>
        <w:t xml:space="preserve">Additional </w:t>
      </w:r>
      <w:r w:rsidR="00022D78">
        <w:rPr>
          <w:lang w:val="en-GB"/>
        </w:rPr>
        <w:t xml:space="preserve">specification </w:t>
      </w:r>
      <w:r>
        <w:rPr>
          <w:lang w:val="en-GB"/>
        </w:rPr>
        <w:t>for guard periods before or after the UL subband is not needed</w:t>
      </w:r>
      <w:r w:rsidR="00022D78">
        <w:rPr>
          <w:lang w:val="en-GB"/>
        </w:rPr>
        <w:t xml:space="preserve"> but can be handled by scheduling</w:t>
      </w:r>
      <w:r>
        <w:rPr>
          <w:lang w:val="en-GB"/>
        </w:rPr>
        <w:t>.</w:t>
      </w:r>
      <w:bookmarkEnd w:id="27"/>
    </w:p>
    <w:p w14:paraId="20B3D1BB" w14:textId="175F5246" w:rsidR="00022D78" w:rsidRDefault="00022D78" w:rsidP="00BC7758">
      <w:pPr>
        <w:pStyle w:val="Observation"/>
        <w:rPr>
          <w:lang w:val="en-GB"/>
        </w:rPr>
      </w:pPr>
      <w:bookmarkStart w:id="28" w:name="_Toc159243986"/>
      <w:r>
        <w:rPr>
          <w:lang w:val="en-GB" w:eastAsia="ja-JP"/>
        </w:rPr>
        <w:lastRenderedPageBreak/>
        <w:t xml:space="preserve">Legacy timing already includes the possibility to set </w:t>
      </w:r>
      <w:proofErr w:type="spellStart"/>
      <w:proofErr w:type="gramStart"/>
      <w:r>
        <w:rPr>
          <w:lang w:val="en-GB" w:eastAsia="ja-JP"/>
        </w:rPr>
        <w:t>N</w:t>
      </w:r>
      <w:r w:rsidRPr="009572F9">
        <w:rPr>
          <w:vertAlign w:val="subscript"/>
          <w:lang w:val="en-GB" w:eastAsia="ja-JP"/>
        </w:rPr>
        <w:t>TA</w:t>
      </w:r>
      <w:r>
        <w:rPr>
          <w:vertAlign w:val="subscript"/>
          <w:lang w:val="en-GB" w:eastAsia="ja-JP"/>
        </w:rPr>
        <w:t>,offset</w:t>
      </w:r>
      <w:proofErr w:type="spellEnd"/>
      <w:proofErr w:type="gramEnd"/>
      <w:r>
        <w:rPr>
          <w:lang w:val="en-GB" w:eastAsia="ja-JP"/>
        </w:rPr>
        <w:t xml:space="preserve"> = 0 such that DL and UL timing are aligned at the gNB.</w:t>
      </w:r>
      <w:bookmarkEnd w:id="28"/>
    </w:p>
    <w:p w14:paraId="6B99658F" w14:textId="6F15DE40" w:rsidR="00F67928" w:rsidRDefault="00513ABA" w:rsidP="002D58CD">
      <w:pPr>
        <w:pStyle w:val="Proposal"/>
        <w:rPr>
          <w:lang w:val="en-GB"/>
        </w:rPr>
      </w:pPr>
      <w:bookmarkStart w:id="29" w:name="_Toc159244011"/>
      <w:r>
        <w:rPr>
          <w:lang w:val="en-GB"/>
        </w:rPr>
        <w:t>DL and UL</w:t>
      </w:r>
      <w:r w:rsidR="005F1FE1">
        <w:rPr>
          <w:lang w:val="en-GB"/>
        </w:rPr>
        <w:t xml:space="preserve"> s</w:t>
      </w:r>
      <w:r w:rsidR="0024606D">
        <w:rPr>
          <w:lang w:val="en-GB"/>
        </w:rPr>
        <w:t>ubbands</w:t>
      </w:r>
      <w:r w:rsidR="005F1FE1">
        <w:rPr>
          <w:lang w:val="en-GB"/>
        </w:rPr>
        <w:t xml:space="preserve"> in </w:t>
      </w:r>
      <w:r w:rsidR="0024606D">
        <w:rPr>
          <w:lang w:val="en-GB"/>
        </w:rPr>
        <w:t>SBFD symbols a</w:t>
      </w:r>
      <w:r>
        <w:rPr>
          <w:lang w:val="en-GB"/>
        </w:rPr>
        <w:t xml:space="preserve">re </w:t>
      </w:r>
      <w:r w:rsidR="0024606D">
        <w:rPr>
          <w:lang w:val="en-GB"/>
        </w:rPr>
        <w:t>time</w:t>
      </w:r>
      <w:r>
        <w:rPr>
          <w:lang w:val="en-GB"/>
        </w:rPr>
        <w:t xml:space="preserve"> aligned with </w:t>
      </w:r>
      <w:r w:rsidR="005F1FE1">
        <w:rPr>
          <w:lang w:val="en-GB"/>
        </w:rPr>
        <w:t xml:space="preserve">the </w:t>
      </w:r>
      <w:r>
        <w:rPr>
          <w:lang w:val="en-GB"/>
        </w:rPr>
        <w:t xml:space="preserve">DL and UL </w:t>
      </w:r>
      <w:r w:rsidR="005F1FE1">
        <w:rPr>
          <w:lang w:val="en-GB"/>
        </w:rPr>
        <w:t>frame timing</w:t>
      </w:r>
      <w:r>
        <w:rPr>
          <w:lang w:val="en-GB"/>
        </w:rPr>
        <w:t>, respectively.</w:t>
      </w:r>
      <w:bookmarkEnd w:id="29"/>
    </w:p>
    <w:p w14:paraId="44358302" w14:textId="4E7DB524" w:rsidR="00F540E0" w:rsidRDefault="00406AD1" w:rsidP="004553BC">
      <w:pPr>
        <w:pStyle w:val="Heading2"/>
      </w:pPr>
      <w:bookmarkStart w:id="30" w:name="_Ref159068907"/>
      <w:r>
        <w:t>2.</w:t>
      </w:r>
      <w:r w:rsidR="00CB360B">
        <w:t>5</w:t>
      </w:r>
      <w:r w:rsidR="00E33511">
        <w:tab/>
      </w:r>
      <w:r w:rsidR="00E33511" w:rsidRPr="006B2A04">
        <w:t xml:space="preserve">SBFD operation in symbols configured as </w:t>
      </w:r>
      <w:proofErr w:type="gramStart"/>
      <w:r w:rsidR="00E33511" w:rsidRPr="006B2A04">
        <w:t>DL</w:t>
      </w:r>
      <w:bookmarkEnd w:id="30"/>
      <w:proofErr w:type="gramEnd"/>
    </w:p>
    <w:p w14:paraId="1E587B30" w14:textId="539E3781" w:rsidR="005725BA" w:rsidRPr="005725BA" w:rsidRDefault="005725BA" w:rsidP="005725BA">
      <w:pPr>
        <w:rPr>
          <w:lang w:val="en-GB" w:eastAsia="ja-JP"/>
        </w:rPr>
      </w:pPr>
      <w:r>
        <w:rPr>
          <w:lang w:val="en-GB" w:eastAsia="ja-JP"/>
        </w:rPr>
        <w:t>Considering SBFD operation in DL symbols, TR 38.858 states the following:</w:t>
      </w:r>
    </w:p>
    <w:tbl>
      <w:tblPr>
        <w:tblStyle w:val="TableGrid"/>
        <w:tblW w:w="0" w:type="auto"/>
        <w:tblLook w:val="04A0" w:firstRow="1" w:lastRow="0" w:firstColumn="1" w:lastColumn="0" w:noHBand="0" w:noVBand="1"/>
      </w:tblPr>
      <w:tblGrid>
        <w:gridCol w:w="9629"/>
      </w:tblGrid>
      <w:tr w:rsidR="005A04EC" w14:paraId="453CD906" w14:textId="77777777" w:rsidTr="0076239C">
        <w:tc>
          <w:tcPr>
            <w:tcW w:w="0" w:type="auto"/>
          </w:tcPr>
          <w:p w14:paraId="4C883D8E" w14:textId="619CC9A9" w:rsidR="0076239C" w:rsidRPr="00281F30" w:rsidRDefault="0076239C" w:rsidP="0076239C">
            <w:pPr>
              <w:rPr>
                <w:rFonts w:ascii="Times New Roman" w:hAnsi="Times New Roman" w:cs="Times New Roman"/>
              </w:rPr>
            </w:pPr>
            <w:r w:rsidRPr="00281F30">
              <w:rPr>
                <w:rFonts w:ascii="Times New Roman" w:hAnsi="Times New Roman" w:cs="Times New Roman"/>
              </w:rPr>
              <w:t>TR 38.858</w:t>
            </w:r>
            <w:r>
              <w:rPr>
                <w:rFonts w:ascii="Times New Roman" w:hAnsi="Times New Roman" w:cs="Times New Roman"/>
              </w:rPr>
              <w:t>:</w:t>
            </w:r>
          </w:p>
          <w:p w14:paraId="6F88CC01" w14:textId="46913AC4" w:rsidR="0076239C" w:rsidRPr="00281F30" w:rsidRDefault="0076239C" w:rsidP="0076239C">
            <w:pPr>
              <w:rPr>
                <w:rFonts w:ascii="Times New Roman" w:hAnsi="Times New Roman" w:cs="Times New Roman"/>
              </w:rPr>
            </w:pPr>
            <w:r w:rsidRPr="00281F30">
              <w:rPr>
                <w:rFonts w:ascii="Times New Roman" w:hAnsi="Times New Roman" w:cs="Times New Roman"/>
              </w:rPr>
              <w:t>For a SBFD aware UE semi-statically configured with UL subband in a SBFD symbol</w:t>
            </w:r>
            <w:bookmarkStart w:id="31" w:name="_Hlk156389172"/>
            <w:r w:rsidRPr="00281F30">
              <w:rPr>
                <w:rFonts w:ascii="Times New Roman" w:hAnsi="Times New Roman" w:cs="Times New Roman"/>
              </w:rPr>
              <w:t xml:space="preserve"> configured as DL in </w:t>
            </w:r>
            <w:r w:rsidRPr="00281F30">
              <w:rPr>
                <w:rFonts w:ascii="Times New Roman" w:hAnsi="Times New Roman" w:cs="Times New Roman"/>
                <w:i/>
              </w:rPr>
              <w:t>TDD-UL-DL-</w:t>
            </w:r>
            <w:proofErr w:type="spellStart"/>
            <w:r w:rsidRPr="00281F30">
              <w:rPr>
                <w:rFonts w:ascii="Times New Roman" w:hAnsi="Times New Roman" w:cs="Times New Roman"/>
                <w:i/>
              </w:rPr>
              <w:t>ConfigCommon</w:t>
            </w:r>
            <w:bookmarkEnd w:id="31"/>
            <w:proofErr w:type="spellEnd"/>
            <w:r w:rsidRPr="00281F30">
              <w:rPr>
                <w:rFonts w:ascii="Times New Roman" w:hAnsi="Times New Roman" w:cs="Times New Roman"/>
              </w:rPr>
              <w:t>, the following is agreed as baseline in the RAN1 study:</w:t>
            </w:r>
          </w:p>
          <w:p w14:paraId="6E0740EA" w14:textId="77777777" w:rsidR="0076239C" w:rsidRPr="0076239C" w:rsidRDefault="0076239C" w:rsidP="0076239C">
            <w:pPr>
              <w:pStyle w:val="B1"/>
              <w:rPr>
                <w:rFonts w:cs="Times New Roman"/>
              </w:rPr>
            </w:pPr>
            <w:r w:rsidRPr="0076239C">
              <w:rPr>
                <w:rFonts w:cs="Times New Roman"/>
              </w:rPr>
              <w:t>-</w:t>
            </w:r>
            <w:r w:rsidRPr="0076239C">
              <w:rPr>
                <w:rFonts w:cs="Times New Roman"/>
              </w:rPr>
              <w:tab/>
              <w:t>UL transmissions within UL subband are allowed in the symbol</w:t>
            </w:r>
          </w:p>
          <w:p w14:paraId="27524945" w14:textId="77777777" w:rsidR="0076239C" w:rsidRPr="0076239C" w:rsidRDefault="0076239C" w:rsidP="0076239C">
            <w:pPr>
              <w:pStyle w:val="B1"/>
              <w:rPr>
                <w:rFonts w:cs="Times New Roman"/>
              </w:rPr>
            </w:pPr>
            <w:r w:rsidRPr="0076239C">
              <w:rPr>
                <w:rFonts w:cs="Times New Roman"/>
              </w:rPr>
              <w:t>-</w:t>
            </w:r>
            <w:r w:rsidRPr="0076239C">
              <w:rPr>
                <w:rFonts w:cs="Times New Roman"/>
              </w:rPr>
              <w:tab/>
              <w:t>UL transmissions outside UL subband are not allowed in the symbol</w:t>
            </w:r>
          </w:p>
          <w:p w14:paraId="1AD1A413" w14:textId="77777777" w:rsidR="0076239C" w:rsidRPr="0076239C" w:rsidRDefault="0076239C" w:rsidP="0076239C">
            <w:pPr>
              <w:pStyle w:val="B1"/>
              <w:rPr>
                <w:rFonts w:cs="Times New Roman"/>
              </w:rPr>
            </w:pPr>
            <w:r w:rsidRPr="0076239C">
              <w:rPr>
                <w:rFonts w:cs="Times New Roman"/>
              </w:rPr>
              <w:t>-</w:t>
            </w:r>
            <w:r w:rsidRPr="0076239C">
              <w:rPr>
                <w:rFonts w:cs="Times New Roman"/>
              </w:rPr>
              <w:tab/>
              <w:t>Frequency locations of DL subband(s) are known to the SBFD aware UE</w:t>
            </w:r>
          </w:p>
          <w:p w14:paraId="779035BB" w14:textId="77777777" w:rsidR="0076239C" w:rsidRPr="0076239C" w:rsidRDefault="0076239C" w:rsidP="0076239C">
            <w:pPr>
              <w:pStyle w:val="B2"/>
              <w:rPr>
                <w:rFonts w:cs="Times New Roman"/>
              </w:rPr>
            </w:pPr>
            <w:r w:rsidRPr="0076239C">
              <w:rPr>
                <w:rFonts w:cs="Times New Roman"/>
              </w:rPr>
              <w:t>-</w:t>
            </w:r>
            <w:r w:rsidRPr="0076239C">
              <w:rPr>
                <w:rFonts w:cs="Times New Roman"/>
              </w:rPr>
              <w:tab/>
              <w:t>The frequency location of DL subband(s) can be explicitly indicated or implicitly derived</w:t>
            </w:r>
          </w:p>
          <w:p w14:paraId="726A360D" w14:textId="77777777" w:rsidR="0076239C" w:rsidRPr="0076239C" w:rsidRDefault="0076239C" w:rsidP="0076239C">
            <w:pPr>
              <w:pStyle w:val="B1"/>
              <w:rPr>
                <w:rFonts w:cs="Times New Roman"/>
              </w:rPr>
            </w:pPr>
            <w:r w:rsidRPr="0076239C">
              <w:rPr>
                <w:rFonts w:cs="Times New Roman"/>
              </w:rPr>
              <w:t>-</w:t>
            </w:r>
            <w:r w:rsidRPr="0076239C">
              <w:rPr>
                <w:rFonts w:cs="Times New Roman"/>
              </w:rPr>
              <w:tab/>
              <w:t>DL receptions within DL subband(s) are allowed in the symbol</w:t>
            </w:r>
          </w:p>
          <w:p w14:paraId="6FA878F2" w14:textId="77777777" w:rsidR="0076239C" w:rsidRPr="0076239C" w:rsidRDefault="0076239C" w:rsidP="0076239C">
            <w:pPr>
              <w:pStyle w:val="B1"/>
              <w:rPr>
                <w:rFonts w:cs="Times New Roman"/>
              </w:rPr>
            </w:pPr>
            <w:r w:rsidRPr="0076239C">
              <w:rPr>
                <w:rFonts w:cs="Times New Roman"/>
              </w:rPr>
              <w:t>-</w:t>
            </w:r>
            <w:r w:rsidRPr="0076239C">
              <w:rPr>
                <w:rFonts w:cs="Times New Roman"/>
              </w:rPr>
              <w:tab/>
              <w:t>Note: UL transmissions are within active UL BWP and DL receptions are within active DL BWP in the symbol</w:t>
            </w:r>
          </w:p>
          <w:p w14:paraId="2D34CF3B" w14:textId="77777777" w:rsidR="0076239C" w:rsidRPr="00281F30" w:rsidRDefault="0076239C" w:rsidP="0076239C">
            <w:pPr>
              <w:spacing w:beforeLines="50" w:before="120" w:afterLines="50" w:after="120"/>
              <w:rPr>
                <w:rFonts w:ascii="Times New Roman" w:hAnsi="Times New Roman" w:cs="Times New Roman"/>
              </w:rPr>
            </w:pPr>
            <w:r w:rsidRPr="00281F30">
              <w:rPr>
                <w:rFonts w:ascii="Times New Roman" w:hAnsi="Times New Roman" w:cs="Times New Roman"/>
              </w:rPr>
              <w:t xml:space="preserve">In addition, whether DL receptions outside semi-statically configured DL subband(s) are allowed or not in a symbol configured as DL in </w:t>
            </w:r>
            <w:r w:rsidRPr="00281F30">
              <w:rPr>
                <w:rFonts w:ascii="Times New Roman" w:hAnsi="Times New Roman" w:cs="Times New Roman"/>
                <w:i/>
              </w:rPr>
              <w:t>TDD-UL-DL-</w:t>
            </w:r>
            <w:proofErr w:type="spellStart"/>
            <w:r w:rsidRPr="00281F30">
              <w:rPr>
                <w:rFonts w:ascii="Times New Roman" w:hAnsi="Times New Roman" w:cs="Times New Roman"/>
                <w:i/>
              </w:rPr>
              <w:t>ConfigCommon</w:t>
            </w:r>
            <w:proofErr w:type="spellEnd"/>
            <w:r w:rsidRPr="00281F30">
              <w:rPr>
                <w:rFonts w:ascii="Times New Roman" w:hAnsi="Times New Roman" w:cs="Times New Roman"/>
              </w:rPr>
              <w:t xml:space="preserve"> for SBFD aware UEs are studied based on the following options:</w:t>
            </w:r>
          </w:p>
          <w:p w14:paraId="5DFED2E3" w14:textId="77777777" w:rsidR="0076239C" w:rsidRPr="0076239C" w:rsidRDefault="0076239C" w:rsidP="0076239C">
            <w:pPr>
              <w:pStyle w:val="B1"/>
              <w:rPr>
                <w:rFonts w:cs="Times New Roman"/>
              </w:rPr>
            </w:pPr>
            <w:r w:rsidRPr="0076239C">
              <w:rPr>
                <w:rFonts w:cs="Times New Roman"/>
              </w:rPr>
              <w:t>-</w:t>
            </w:r>
            <w:r w:rsidRPr="0076239C">
              <w:rPr>
                <w:rFonts w:cs="Times New Roman"/>
              </w:rPr>
              <w:tab/>
              <w:t>Option 1 (semi-static</w:t>
            </w:r>
            <w:r w:rsidRPr="007030AE">
              <w:rPr>
                <w:rFonts w:cs="Times New Roman"/>
              </w:rPr>
              <w:t xml:space="preserve"> SBFD</w:t>
            </w:r>
            <w:r w:rsidRPr="0076239C">
              <w:rPr>
                <w:rFonts w:cs="Times New Roman"/>
              </w:rPr>
              <w:t>): DL receptions outside semi-statically configured DL subband(s) are not allowed</w:t>
            </w:r>
          </w:p>
          <w:p w14:paraId="15144236" w14:textId="7CEA67E0" w:rsidR="0076239C" w:rsidRPr="005B6B19" w:rsidRDefault="0076239C" w:rsidP="005B6B19">
            <w:pPr>
              <w:pStyle w:val="B1"/>
              <w:rPr>
                <w:rFonts w:cs="Times New Roman"/>
              </w:rPr>
            </w:pPr>
            <w:r w:rsidRPr="0076239C">
              <w:rPr>
                <w:rFonts w:cs="Times New Roman"/>
              </w:rPr>
              <w:t>-</w:t>
            </w:r>
            <w:r w:rsidRPr="0076239C">
              <w:rPr>
                <w:rFonts w:cs="Times New Roman"/>
              </w:rPr>
              <w:tab/>
              <w:t xml:space="preserve">Option 2: </w:t>
            </w:r>
            <w:r w:rsidRPr="007030AE">
              <w:rPr>
                <w:rFonts w:cs="Times New Roman"/>
              </w:rPr>
              <w:t xml:space="preserve">(dynamic SBFD): </w:t>
            </w:r>
            <w:r w:rsidRPr="0076239C">
              <w:rPr>
                <w:rFonts w:cs="Times New Roman"/>
              </w:rPr>
              <w:t xml:space="preserve">DL receptions outside semi-statically configured DL subband(s) are allowed </w:t>
            </w:r>
          </w:p>
        </w:tc>
      </w:tr>
    </w:tbl>
    <w:p w14:paraId="67449029" w14:textId="3E675518" w:rsidR="005B6B19" w:rsidRDefault="005B6B19" w:rsidP="005725BA">
      <w:pPr>
        <w:pStyle w:val="BodyText"/>
        <w:spacing w:before="240"/>
        <w:rPr>
          <w:lang w:val="en-GB" w:eastAsia="ja-JP"/>
        </w:rPr>
      </w:pPr>
      <w:r>
        <w:rPr>
          <w:lang w:val="en-GB" w:eastAsia="ja-JP"/>
        </w:rPr>
        <w:t>In addition, the WID </w:t>
      </w:r>
      <w:r>
        <w:rPr>
          <w:lang w:val="en-GB" w:eastAsia="ja-JP"/>
        </w:rPr>
        <w:fldChar w:fldCharType="begin"/>
      </w:r>
      <w:r>
        <w:rPr>
          <w:lang w:val="en-GB" w:eastAsia="ja-JP"/>
        </w:rPr>
        <w:instrText xml:space="preserve"> REF _Ref158324440 \n \h </w:instrText>
      </w:r>
      <w:r>
        <w:rPr>
          <w:lang w:val="en-GB" w:eastAsia="ja-JP"/>
        </w:rPr>
      </w:r>
      <w:r>
        <w:rPr>
          <w:lang w:val="en-GB" w:eastAsia="ja-JP"/>
        </w:rPr>
        <w:fldChar w:fldCharType="separate"/>
      </w:r>
      <w:r w:rsidR="00D32653">
        <w:rPr>
          <w:lang w:val="en-GB" w:eastAsia="ja-JP"/>
        </w:rPr>
        <w:t>[2]</w:t>
      </w:r>
      <w:r>
        <w:rPr>
          <w:lang w:val="en-GB" w:eastAsia="ja-JP"/>
        </w:rPr>
        <w:fldChar w:fldCharType="end"/>
      </w:r>
      <w:r>
        <w:rPr>
          <w:lang w:val="en-GB" w:eastAsia="ja-JP"/>
        </w:rPr>
        <w:t xml:space="preserve"> </w:t>
      </w:r>
      <w:r w:rsidR="00A02EE9">
        <w:rPr>
          <w:lang w:val="en-GB" w:eastAsia="ja-JP"/>
        </w:rPr>
        <w:t>specifically states:</w:t>
      </w:r>
    </w:p>
    <w:tbl>
      <w:tblPr>
        <w:tblStyle w:val="TableGrid"/>
        <w:tblW w:w="0" w:type="auto"/>
        <w:tblLook w:val="04A0" w:firstRow="1" w:lastRow="0" w:firstColumn="1" w:lastColumn="0" w:noHBand="0" w:noVBand="1"/>
      </w:tblPr>
      <w:tblGrid>
        <w:gridCol w:w="9629"/>
      </w:tblGrid>
      <w:tr w:rsidR="005B6B19" w14:paraId="3B7399CD" w14:textId="77777777" w:rsidTr="005B6B19">
        <w:tc>
          <w:tcPr>
            <w:tcW w:w="9629" w:type="dxa"/>
          </w:tcPr>
          <w:p w14:paraId="25AEA96A" w14:textId="77777777" w:rsidR="005B6B19" w:rsidRPr="00281F30" w:rsidRDefault="005B6B19" w:rsidP="005B6B19">
            <w:pPr>
              <w:rPr>
                <w:rFonts w:ascii="Times New Roman" w:hAnsi="Times New Roman" w:cs="Times New Roman"/>
                <w:lang w:eastAsia="ja-JP"/>
              </w:rPr>
            </w:pPr>
            <w:r w:rsidRPr="00281F30">
              <w:rPr>
                <w:rFonts w:ascii="Times New Roman" w:hAnsi="Times New Roman" w:cs="Times New Roman"/>
                <w:lang w:eastAsia="ja-JP"/>
              </w:rPr>
              <w:t>WID:</w:t>
            </w:r>
          </w:p>
          <w:p w14:paraId="38A61A9B" w14:textId="77777777" w:rsidR="005B6B19" w:rsidRPr="00281F30" w:rsidRDefault="005B6B19" w:rsidP="005B6B19">
            <w:pPr>
              <w:numPr>
                <w:ilvl w:val="2"/>
                <w:numId w:val="34"/>
              </w:numPr>
              <w:tabs>
                <w:tab w:val="clear" w:pos="1800"/>
                <w:tab w:val="left" w:pos="2160"/>
              </w:tabs>
              <w:spacing w:line="256" w:lineRule="auto"/>
              <w:ind w:left="360"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 xml:space="preserve">Transmission and reception </w:t>
            </w:r>
            <w:proofErr w:type="spellStart"/>
            <w:r w:rsidRPr="00281F30">
              <w:rPr>
                <w:rFonts w:ascii="Times New Roman" w:eastAsia="Malgun Gothic" w:hAnsi="Times New Roman" w:cs="Times New Roman"/>
                <w:lang w:eastAsia="ko-KR"/>
              </w:rPr>
              <w:t>behaviours</w:t>
            </w:r>
            <w:proofErr w:type="spellEnd"/>
            <w:r w:rsidRPr="00281F30">
              <w:rPr>
                <w:rFonts w:ascii="Times New Roman" w:eastAsia="Malgun Gothic" w:hAnsi="Times New Roman" w:cs="Times New Roman"/>
                <w:lang w:eastAsia="ko-KR"/>
              </w:rPr>
              <w:t xml:space="preserve"> on SBFD </w:t>
            </w:r>
            <w:proofErr w:type="spellStart"/>
            <w:r w:rsidRPr="00281F30">
              <w:rPr>
                <w:rFonts w:ascii="Times New Roman" w:eastAsia="Malgun Gothic" w:hAnsi="Times New Roman" w:cs="Times New Roman"/>
                <w:lang w:eastAsia="ko-KR"/>
              </w:rPr>
              <w:t>subbands</w:t>
            </w:r>
            <w:proofErr w:type="spellEnd"/>
            <w:r w:rsidRPr="00281F30">
              <w:rPr>
                <w:rFonts w:ascii="Times New Roman" w:eastAsia="Malgun Gothic" w:hAnsi="Times New Roman" w:cs="Times New Roman"/>
                <w:lang w:eastAsia="ko-KR"/>
              </w:rPr>
              <w:t xml:space="preserve"> configured in DL and/or flexible symbol indicated by </w:t>
            </w:r>
            <w:r w:rsidRPr="00281F30">
              <w:rPr>
                <w:rFonts w:ascii="Times New Roman" w:eastAsia="Malgun Gothic" w:hAnsi="Times New Roman" w:cs="Times New Roman"/>
                <w:i/>
                <w:lang w:eastAsia="ko-KR"/>
              </w:rPr>
              <w:t>TDD-UL-DL-</w:t>
            </w:r>
            <w:proofErr w:type="spellStart"/>
            <w:r w:rsidRPr="00281F30">
              <w:rPr>
                <w:rFonts w:ascii="Times New Roman" w:eastAsia="Malgun Gothic" w:hAnsi="Times New Roman" w:cs="Times New Roman"/>
                <w:i/>
                <w:lang w:eastAsia="ko-KR"/>
              </w:rPr>
              <w:t>ConfigCommon</w:t>
            </w:r>
            <w:proofErr w:type="spellEnd"/>
          </w:p>
          <w:p w14:paraId="575770A4" w14:textId="77777777" w:rsidR="005B6B19" w:rsidRPr="00281F30" w:rsidRDefault="005B6B19" w:rsidP="005B6B19">
            <w:pPr>
              <w:numPr>
                <w:ilvl w:val="3"/>
                <w:numId w:val="34"/>
              </w:numPr>
              <w:tabs>
                <w:tab w:val="clear" w:pos="2520"/>
                <w:tab w:val="left" w:pos="2880"/>
              </w:tabs>
              <w:spacing w:line="256" w:lineRule="auto"/>
              <w:ind w:left="1080"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UL transmissions within UL subband only</w:t>
            </w:r>
          </w:p>
          <w:p w14:paraId="50893698" w14:textId="77777777" w:rsidR="005B6B19" w:rsidRPr="00281F30" w:rsidRDefault="005B6B19" w:rsidP="005B6B19">
            <w:pPr>
              <w:numPr>
                <w:ilvl w:val="3"/>
                <w:numId w:val="34"/>
              </w:numPr>
              <w:tabs>
                <w:tab w:val="clear" w:pos="2520"/>
                <w:tab w:val="left" w:pos="2880"/>
              </w:tabs>
              <w:spacing w:line="256" w:lineRule="auto"/>
              <w:ind w:left="1080"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DL receptions within DL subband(s) only, except for CLI measurement by the UE outside of the DL subbands</w:t>
            </w:r>
          </w:p>
          <w:p w14:paraId="523E4F43" w14:textId="08F10B99" w:rsidR="005B6B19" w:rsidRPr="005B6B19" w:rsidRDefault="005B6B19" w:rsidP="005B6B19">
            <w:pPr>
              <w:spacing w:line="256" w:lineRule="auto"/>
              <w:ind w:left="720" w:right="-99"/>
              <w:rPr>
                <w:rFonts w:ascii="Times New Roman" w:eastAsia="Malgun Gothic" w:hAnsi="Times New Roman" w:cs="Times New Roman"/>
                <w:lang w:eastAsia="ko-KR"/>
              </w:rPr>
            </w:pPr>
            <w:r w:rsidRPr="00281F30">
              <w:rPr>
                <w:rFonts w:ascii="Times New Roman" w:eastAsia="Malgun Gothic" w:hAnsi="Times New Roman" w:cs="Times New Roman"/>
                <w:lang w:eastAsia="ko-KR"/>
              </w:rPr>
              <w:t xml:space="preserve">Note: </w:t>
            </w:r>
            <w:r w:rsidRPr="00281F30">
              <w:rPr>
                <w:rFonts w:ascii="Times New Roman" w:hAnsi="Times New Roman" w:cs="Times New Roman"/>
                <w:lang w:eastAsia="zh-CN"/>
              </w:rPr>
              <w:t>When flexible symbols are used, it is not expected that any legacy Uplink symbol is converted to Downlink/SBFD symbols</w:t>
            </w:r>
          </w:p>
        </w:tc>
      </w:tr>
    </w:tbl>
    <w:p w14:paraId="2930DDA0" w14:textId="751950FA" w:rsidR="00F540E0" w:rsidRDefault="0076239C" w:rsidP="005725BA">
      <w:pPr>
        <w:pStyle w:val="BodyText"/>
        <w:spacing w:before="240"/>
        <w:rPr>
          <w:lang w:val="en-GB" w:eastAsia="ja-JP"/>
        </w:rPr>
      </w:pPr>
      <w:r>
        <w:rPr>
          <w:lang w:val="en-GB" w:eastAsia="ja-JP"/>
        </w:rPr>
        <w:t xml:space="preserve">According to our understanding, the WID precludes Option 2 (dynamic SBFD). Thus, </w:t>
      </w:r>
      <w:r w:rsidR="00E87055">
        <w:rPr>
          <w:lang w:val="en-GB" w:eastAsia="ja-JP"/>
        </w:rPr>
        <w:t xml:space="preserve">the transmission direction is completely determined by the subband configuration and </w:t>
      </w:r>
      <w:r>
        <w:rPr>
          <w:lang w:val="en-GB" w:eastAsia="ja-JP"/>
        </w:rPr>
        <w:t>what remains to be discussed is how UL and DL should be prioritized, for example for scheduled and configured transmissions. This topic is discussed in Section 2.</w:t>
      </w:r>
      <w:r w:rsidR="001B2AA6">
        <w:rPr>
          <w:lang w:val="en-GB" w:eastAsia="ja-JP"/>
        </w:rPr>
        <w:t>7</w:t>
      </w:r>
      <w:r>
        <w:rPr>
          <w:lang w:val="en-GB" w:eastAsia="ja-JP"/>
        </w:rPr>
        <w:t xml:space="preserve"> below.</w:t>
      </w:r>
    </w:p>
    <w:p w14:paraId="4C7906DD" w14:textId="602F368B" w:rsidR="00022D78" w:rsidRPr="0043383C" w:rsidRDefault="00022D78" w:rsidP="00B67EFF">
      <w:pPr>
        <w:pStyle w:val="Observation"/>
      </w:pPr>
      <w:bookmarkStart w:id="32" w:name="_Toc159243987"/>
      <w:r>
        <w:t>The WID clearly specifies that Option 1</w:t>
      </w:r>
      <w:r w:rsidR="00F9146D">
        <w:t xml:space="preserve"> </w:t>
      </w:r>
      <w:r w:rsidR="00A401D1">
        <w:t xml:space="preserve">in the TR, </w:t>
      </w:r>
      <w:r w:rsidR="00F9146D">
        <w:t>supporting semi-static SBFD</w:t>
      </w:r>
      <w:r>
        <w:t xml:space="preserve"> </w:t>
      </w:r>
      <w:r w:rsidR="00F9146D">
        <w:t>in DL symbols</w:t>
      </w:r>
      <w:r w:rsidR="00A401D1">
        <w:t>,</w:t>
      </w:r>
      <w:r w:rsidR="00F9146D">
        <w:t xml:space="preserve"> </w:t>
      </w:r>
      <w:r>
        <w:t>is to be specified.</w:t>
      </w:r>
      <w:bookmarkEnd w:id="32"/>
    </w:p>
    <w:p w14:paraId="799C0045" w14:textId="479B16D8" w:rsidR="00E33511" w:rsidRDefault="00E33511" w:rsidP="00281F30">
      <w:pPr>
        <w:pStyle w:val="Heading2"/>
      </w:pPr>
      <w:r>
        <w:lastRenderedPageBreak/>
        <w:t>2.</w:t>
      </w:r>
      <w:r w:rsidR="00CB360B">
        <w:t>6</w:t>
      </w:r>
      <w:r>
        <w:tab/>
      </w:r>
      <w:r w:rsidRPr="006B2A04">
        <w:t xml:space="preserve">SBFD operation in symbols configured as </w:t>
      </w:r>
      <w:proofErr w:type="gramStart"/>
      <w:r w:rsidRPr="006B2A04">
        <w:t>flexible</w:t>
      </w:r>
      <w:proofErr w:type="gramEnd"/>
    </w:p>
    <w:p w14:paraId="1221CAB2" w14:textId="50FFD5B5" w:rsidR="00E33511" w:rsidRPr="00AF5059" w:rsidRDefault="005725BA" w:rsidP="00E33511">
      <w:r>
        <w:t>Corresponding to Sec. 2.5, TR 38.858 states the following about operation in F symbols:</w:t>
      </w:r>
    </w:p>
    <w:tbl>
      <w:tblPr>
        <w:tblStyle w:val="TableGrid"/>
        <w:tblW w:w="0" w:type="auto"/>
        <w:tblLook w:val="04A0" w:firstRow="1" w:lastRow="0" w:firstColumn="1" w:lastColumn="0" w:noHBand="0" w:noVBand="1"/>
      </w:tblPr>
      <w:tblGrid>
        <w:gridCol w:w="9629"/>
      </w:tblGrid>
      <w:tr w:rsidR="00D00739" w14:paraId="16D32838" w14:textId="77777777" w:rsidTr="0058042A">
        <w:tc>
          <w:tcPr>
            <w:tcW w:w="0" w:type="auto"/>
          </w:tcPr>
          <w:p w14:paraId="5368DC46" w14:textId="0E7F6F29" w:rsidR="0058042A" w:rsidRDefault="0058042A" w:rsidP="0058042A">
            <w:pPr>
              <w:rPr>
                <w:rFonts w:ascii="Times New Roman" w:hAnsi="Times New Roman" w:cs="Times New Roman"/>
              </w:rPr>
            </w:pPr>
            <w:r>
              <w:rPr>
                <w:rFonts w:ascii="Times New Roman" w:hAnsi="Times New Roman" w:cs="Times New Roman"/>
              </w:rPr>
              <w:t>TR 38.858:</w:t>
            </w:r>
          </w:p>
          <w:p w14:paraId="2D4CF556" w14:textId="2890BB29" w:rsidR="0058042A" w:rsidRPr="00281F30" w:rsidRDefault="0058042A" w:rsidP="0058042A">
            <w:pPr>
              <w:rPr>
                <w:rFonts w:ascii="Times New Roman" w:hAnsi="Times New Roman" w:cs="Times New Roman"/>
              </w:rPr>
            </w:pPr>
            <w:r w:rsidRPr="00281F30">
              <w:rPr>
                <w:rFonts w:ascii="Times New Roman" w:hAnsi="Times New Roman" w:cs="Times New Roman"/>
              </w:rPr>
              <w:t xml:space="preserve">For SBFD operation in a symbol configured as flexible in </w:t>
            </w:r>
            <w:r w:rsidRPr="00281F30">
              <w:rPr>
                <w:rFonts w:ascii="Times New Roman" w:hAnsi="Times New Roman" w:cs="Times New Roman"/>
                <w:i/>
              </w:rPr>
              <w:t>TDD-UL-DL-</w:t>
            </w:r>
            <w:proofErr w:type="spellStart"/>
            <w:r w:rsidRPr="00281F30">
              <w:rPr>
                <w:rFonts w:ascii="Times New Roman" w:hAnsi="Times New Roman" w:cs="Times New Roman"/>
                <w:i/>
              </w:rPr>
              <w:t>ConfigCommon</w:t>
            </w:r>
            <w:proofErr w:type="spellEnd"/>
            <w:r w:rsidRPr="00281F30">
              <w:rPr>
                <w:rFonts w:ascii="Times New Roman" w:hAnsi="Times New Roman" w:cs="Times New Roman"/>
              </w:rPr>
              <w:t>, the following alternatives are studied for SBFD aware UEs,</w:t>
            </w:r>
          </w:p>
          <w:p w14:paraId="7C6CBAC8" w14:textId="77777777" w:rsidR="0058042A" w:rsidRPr="00281F30" w:rsidRDefault="0058042A" w:rsidP="0058042A">
            <w:pPr>
              <w:rPr>
                <w:rFonts w:ascii="Times New Roman" w:hAnsi="Times New Roman" w:cs="Times New Roman"/>
              </w:rPr>
            </w:pPr>
            <w:r w:rsidRPr="00281F30">
              <w:rPr>
                <w:rFonts w:ascii="Times New Roman" w:hAnsi="Times New Roman" w:cs="Times New Roman"/>
              </w:rPr>
              <w:t xml:space="preserve">Alt 1: </w:t>
            </w:r>
          </w:p>
          <w:p w14:paraId="724682FD" w14:textId="77777777" w:rsidR="0058042A" w:rsidRPr="0058042A" w:rsidRDefault="0058042A" w:rsidP="0058042A">
            <w:pPr>
              <w:pStyle w:val="B1"/>
              <w:rPr>
                <w:rFonts w:cs="Times New Roman"/>
              </w:rPr>
            </w:pPr>
            <w:r w:rsidRPr="0058042A">
              <w:rPr>
                <w:rFonts w:cs="Times New Roman"/>
              </w:rPr>
              <w:t>-</w:t>
            </w:r>
            <w:r w:rsidRPr="0058042A">
              <w:rPr>
                <w:rFonts w:cs="Times New Roman"/>
              </w:rPr>
              <w:tab/>
              <w:t>UL transmissions within UL subband are allowed in the symbol</w:t>
            </w:r>
          </w:p>
          <w:p w14:paraId="161C1953" w14:textId="77777777" w:rsidR="0058042A" w:rsidRPr="0058042A" w:rsidRDefault="0058042A" w:rsidP="0058042A">
            <w:pPr>
              <w:pStyle w:val="B1"/>
              <w:rPr>
                <w:rFonts w:cs="Times New Roman"/>
              </w:rPr>
            </w:pPr>
            <w:r w:rsidRPr="0058042A">
              <w:rPr>
                <w:rFonts w:cs="Times New Roman"/>
              </w:rPr>
              <w:t>-</w:t>
            </w:r>
            <w:r w:rsidRPr="0058042A">
              <w:rPr>
                <w:rFonts w:cs="Times New Roman"/>
              </w:rPr>
              <w:tab/>
              <w:t>UL transmissions outside UL subband are not allowed in the symbol</w:t>
            </w:r>
          </w:p>
          <w:p w14:paraId="4F0450E7" w14:textId="77777777" w:rsidR="0058042A" w:rsidRPr="0058042A" w:rsidRDefault="0058042A" w:rsidP="0058042A">
            <w:pPr>
              <w:pStyle w:val="B1"/>
              <w:rPr>
                <w:rFonts w:cs="Times New Roman"/>
              </w:rPr>
            </w:pPr>
            <w:r w:rsidRPr="0058042A">
              <w:rPr>
                <w:rFonts w:cs="Times New Roman"/>
              </w:rPr>
              <w:t>-</w:t>
            </w:r>
            <w:r w:rsidRPr="0058042A">
              <w:rPr>
                <w:rFonts w:cs="Times New Roman"/>
              </w:rPr>
              <w:tab/>
              <w:t>Frequency locations of DL subband(s) are known to the SBFD aware UE</w:t>
            </w:r>
          </w:p>
          <w:p w14:paraId="73A0A041" w14:textId="77777777" w:rsidR="0058042A" w:rsidRPr="0058042A" w:rsidRDefault="0058042A" w:rsidP="0058042A">
            <w:pPr>
              <w:pStyle w:val="B1"/>
              <w:rPr>
                <w:rFonts w:cs="Times New Roman"/>
              </w:rPr>
            </w:pPr>
            <w:r w:rsidRPr="0058042A">
              <w:rPr>
                <w:rFonts w:cs="Times New Roman"/>
              </w:rPr>
              <w:t>-</w:t>
            </w:r>
            <w:r w:rsidRPr="0058042A">
              <w:rPr>
                <w:rFonts w:cs="Times New Roman"/>
              </w:rPr>
              <w:tab/>
              <w:t>DL receptions within DL subband(s) are allowed in the symbol</w:t>
            </w:r>
          </w:p>
          <w:p w14:paraId="7430E4DB" w14:textId="77777777" w:rsidR="0058042A" w:rsidRPr="0058042A" w:rsidRDefault="0058042A" w:rsidP="0058042A">
            <w:pPr>
              <w:pStyle w:val="B1"/>
              <w:rPr>
                <w:rFonts w:cs="Times New Roman"/>
              </w:rPr>
            </w:pPr>
            <w:r w:rsidRPr="0058042A">
              <w:rPr>
                <w:rFonts w:cs="Times New Roman"/>
              </w:rPr>
              <w:t>-</w:t>
            </w:r>
            <w:r w:rsidRPr="0058042A">
              <w:rPr>
                <w:rFonts w:cs="Times New Roman"/>
              </w:rPr>
              <w:tab/>
              <w:t>FFS: Whether DL receptions outside DL subband(s) are allowed or not in the symbol</w:t>
            </w:r>
          </w:p>
          <w:p w14:paraId="12C8A085" w14:textId="77777777" w:rsidR="0058042A" w:rsidRPr="00281F30" w:rsidRDefault="0058042A" w:rsidP="0058042A">
            <w:pPr>
              <w:rPr>
                <w:rFonts w:ascii="Times New Roman" w:hAnsi="Times New Roman" w:cs="Times New Roman"/>
              </w:rPr>
            </w:pPr>
            <w:r w:rsidRPr="00281F30">
              <w:rPr>
                <w:rFonts w:ascii="Times New Roman" w:hAnsi="Times New Roman" w:cs="Times New Roman"/>
              </w:rPr>
              <w:t xml:space="preserve">Alt 2: </w:t>
            </w:r>
          </w:p>
          <w:p w14:paraId="35C2C4A4" w14:textId="77777777" w:rsidR="0058042A" w:rsidRPr="0058042A" w:rsidRDefault="0058042A" w:rsidP="0058042A">
            <w:pPr>
              <w:pStyle w:val="B1"/>
              <w:rPr>
                <w:rFonts w:cs="Times New Roman"/>
              </w:rPr>
            </w:pPr>
            <w:r w:rsidRPr="0058042A">
              <w:rPr>
                <w:rFonts w:cs="Times New Roman"/>
              </w:rPr>
              <w:t>-</w:t>
            </w:r>
            <w:r w:rsidRPr="0058042A">
              <w:rPr>
                <w:rFonts w:cs="Times New Roman"/>
              </w:rPr>
              <w:tab/>
              <w:t>UL transmissions within UL subband are allowed in the symbol</w:t>
            </w:r>
          </w:p>
          <w:p w14:paraId="0BFE9582" w14:textId="77777777" w:rsidR="0058042A" w:rsidRPr="0058042A" w:rsidRDefault="0058042A" w:rsidP="0058042A">
            <w:pPr>
              <w:pStyle w:val="B1"/>
              <w:rPr>
                <w:rFonts w:cs="Times New Roman"/>
              </w:rPr>
            </w:pPr>
            <w:r w:rsidRPr="0058042A">
              <w:rPr>
                <w:rFonts w:cs="Times New Roman"/>
              </w:rPr>
              <w:t>-</w:t>
            </w:r>
            <w:r w:rsidRPr="0058042A">
              <w:rPr>
                <w:rFonts w:cs="Times New Roman"/>
              </w:rPr>
              <w:tab/>
              <w:t xml:space="preserve">The RBs outside the UL subband can be used as either UL, or DL excluding </w:t>
            </w:r>
            <w:proofErr w:type="spellStart"/>
            <w:r w:rsidRPr="0058042A">
              <w:rPr>
                <w:rFonts w:cs="Times New Roman"/>
              </w:rPr>
              <w:t>guardband</w:t>
            </w:r>
            <w:proofErr w:type="spellEnd"/>
            <w:r w:rsidRPr="0058042A">
              <w:rPr>
                <w:rFonts w:cs="Times New Roman"/>
              </w:rPr>
              <w:t xml:space="preserve">(s) if used, in the symbol from </w:t>
            </w:r>
            <w:proofErr w:type="spellStart"/>
            <w:r w:rsidRPr="0058042A">
              <w:rPr>
                <w:rFonts w:cs="Times New Roman"/>
              </w:rPr>
              <w:t>gNB’s</w:t>
            </w:r>
            <w:proofErr w:type="spellEnd"/>
            <w:r w:rsidRPr="0058042A">
              <w:rPr>
                <w:rFonts w:cs="Times New Roman"/>
              </w:rPr>
              <w:t xml:space="preserve"> perspective, and the transmission direction for all those RBs is the same</w:t>
            </w:r>
          </w:p>
          <w:p w14:paraId="40BA4C1B" w14:textId="77777777" w:rsidR="0058042A" w:rsidRPr="0058042A" w:rsidRDefault="0058042A" w:rsidP="0058042A">
            <w:pPr>
              <w:pStyle w:val="B2"/>
              <w:rPr>
                <w:rFonts w:cs="Times New Roman"/>
              </w:rPr>
            </w:pPr>
            <w:r w:rsidRPr="0058042A">
              <w:rPr>
                <w:rFonts w:cs="Times New Roman"/>
              </w:rPr>
              <w:t>-</w:t>
            </w:r>
            <w:r w:rsidRPr="0058042A">
              <w:rPr>
                <w:rFonts w:cs="Times New Roman"/>
              </w:rPr>
              <w:tab/>
              <w:t xml:space="preserve">FFS: SBFD aware UE </w:t>
            </w:r>
            <w:proofErr w:type="spellStart"/>
            <w:r w:rsidRPr="0058042A">
              <w:rPr>
                <w:rFonts w:cs="Times New Roman"/>
              </w:rPr>
              <w:t>behaviours</w:t>
            </w:r>
            <w:proofErr w:type="spellEnd"/>
          </w:p>
          <w:p w14:paraId="46068445" w14:textId="77777777" w:rsidR="0058042A" w:rsidRPr="0058042A" w:rsidRDefault="0058042A" w:rsidP="0058042A">
            <w:pPr>
              <w:pStyle w:val="B2"/>
              <w:rPr>
                <w:rFonts w:cs="Times New Roman"/>
              </w:rPr>
            </w:pPr>
            <w:r w:rsidRPr="0058042A">
              <w:rPr>
                <w:rFonts w:cs="Times New Roman"/>
              </w:rPr>
              <w:t>-</w:t>
            </w:r>
            <w:r w:rsidRPr="0058042A">
              <w:rPr>
                <w:rFonts w:cs="Times New Roman"/>
              </w:rPr>
              <w:tab/>
              <w:t xml:space="preserve">FFS: </w:t>
            </w:r>
            <w:proofErr w:type="gramStart"/>
            <w:r w:rsidRPr="0058042A">
              <w:rPr>
                <w:rFonts w:cs="Times New Roman"/>
              </w:rPr>
              <w:t>Whether or not</w:t>
            </w:r>
            <w:proofErr w:type="gramEnd"/>
            <w:r w:rsidRPr="0058042A">
              <w:rPr>
                <w:rFonts w:cs="Times New Roman"/>
              </w:rPr>
              <w:t xml:space="preserve"> </w:t>
            </w:r>
            <w:proofErr w:type="spellStart"/>
            <w:r w:rsidRPr="0058042A">
              <w:rPr>
                <w:rFonts w:cs="Times New Roman"/>
              </w:rPr>
              <w:t>signalling</w:t>
            </w:r>
            <w:proofErr w:type="spellEnd"/>
            <w:r w:rsidRPr="0058042A">
              <w:rPr>
                <w:rFonts w:cs="Times New Roman"/>
              </w:rPr>
              <w:t xml:space="preserve"> of </w:t>
            </w:r>
            <w:proofErr w:type="spellStart"/>
            <w:r w:rsidRPr="0058042A">
              <w:rPr>
                <w:rFonts w:cs="Times New Roman"/>
              </w:rPr>
              <w:t>guardband</w:t>
            </w:r>
            <w:proofErr w:type="spellEnd"/>
            <w:r w:rsidRPr="0058042A">
              <w:rPr>
                <w:rFonts w:cs="Times New Roman"/>
              </w:rPr>
              <w:t>(s) is needed</w:t>
            </w:r>
          </w:p>
          <w:p w14:paraId="030D2A74" w14:textId="77777777" w:rsidR="0058042A" w:rsidRPr="0058042A" w:rsidRDefault="0058042A" w:rsidP="0058042A">
            <w:pPr>
              <w:pStyle w:val="B1"/>
              <w:rPr>
                <w:rFonts w:cs="Times New Roman"/>
              </w:rPr>
            </w:pPr>
            <w:r w:rsidRPr="0058042A">
              <w:rPr>
                <w:rFonts w:cs="Times New Roman"/>
              </w:rPr>
              <w:t>-</w:t>
            </w:r>
            <w:r w:rsidRPr="0058042A">
              <w:rPr>
                <w:rFonts w:cs="Times New Roman"/>
              </w:rPr>
              <w:tab/>
              <w:t xml:space="preserve">FFS: </w:t>
            </w:r>
            <w:proofErr w:type="gramStart"/>
            <w:r w:rsidRPr="0058042A">
              <w:rPr>
                <w:rFonts w:cs="Times New Roman"/>
              </w:rPr>
              <w:t>Whether or not</w:t>
            </w:r>
            <w:proofErr w:type="gramEnd"/>
            <w:r w:rsidRPr="0058042A">
              <w:rPr>
                <w:rFonts w:cs="Times New Roman"/>
              </w:rPr>
              <w:t xml:space="preserve"> the symbol can be converted to a DL-only symbol</w:t>
            </w:r>
          </w:p>
          <w:p w14:paraId="2B226062" w14:textId="77777777" w:rsidR="0058042A" w:rsidRPr="0058042A" w:rsidRDefault="0058042A" w:rsidP="0058042A">
            <w:pPr>
              <w:pStyle w:val="B1"/>
              <w:rPr>
                <w:rFonts w:cs="Times New Roman"/>
              </w:rPr>
            </w:pPr>
            <w:r w:rsidRPr="0058042A">
              <w:rPr>
                <w:rFonts w:cs="Times New Roman"/>
              </w:rPr>
              <w:t>-</w:t>
            </w:r>
            <w:r w:rsidRPr="0058042A">
              <w:rPr>
                <w:rFonts w:cs="Times New Roman"/>
              </w:rPr>
              <w:tab/>
              <w:t>Frequency locations of DL subband(s) are known to the SBFD aware UE</w:t>
            </w:r>
          </w:p>
          <w:p w14:paraId="60D86AF1" w14:textId="77777777" w:rsidR="0058042A" w:rsidRPr="0058042A" w:rsidRDefault="0058042A" w:rsidP="0058042A">
            <w:pPr>
              <w:pStyle w:val="B1"/>
              <w:rPr>
                <w:rFonts w:cs="Times New Roman"/>
              </w:rPr>
            </w:pPr>
            <w:r w:rsidRPr="0058042A">
              <w:rPr>
                <w:rFonts w:cs="Times New Roman"/>
              </w:rPr>
              <w:t>-</w:t>
            </w:r>
            <w:r w:rsidRPr="0058042A">
              <w:rPr>
                <w:rFonts w:cs="Times New Roman"/>
              </w:rPr>
              <w:tab/>
              <w:t>DL receptions within DL subband(s) are allowed in the symbol</w:t>
            </w:r>
          </w:p>
          <w:p w14:paraId="698B7A23" w14:textId="77777777" w:rsidR="0058042A" w:rsidRPr="00281F30" w:rsidRDefault="0058042A" w:rsidP="0058042A">
            <w:pPr>
              <w:pStyle w:val="NO"/>
              <w:ind w:left="0" w:firstLine="0"/>
              <w:rPr>
                <w:rFonts w:ascii="Times New Roman" w:hAnsi="Times New Roman" w:cs="Times New Roman"/>
              </w:rPr>
            </w:pPr>
            <w:r w:rsidRPr="00281F30">
              <w:rPr>
                <w:rFonts w:ascii="Times New Roman" w:hAnsi="Times New Roman" w:cs="Times New Roman"/>
              </w:rPr>
              <w:t>Note:</w:t>
            </w:r>
            <w:r w:rsidRPr="00281F30">
              <w:rPr>
                <w:rFonts w:ascii="Times New Roman" w:hAnsi="Times New Roman" w:cs="Times New Roman"/>
              </w:rPr>
              <w:tab/>
              <w:t>UL transmissions are within active UL BWP and DL receptions are within active DL BWP in the symbol for both options. For all RBs outside the UL subband, UE cannot use separate RBs for DL and UL simultaneously.</w:t>
            </w:r>
          </w:p>
          <w:p w14:paraId="26D981B5" w14:textId="3013D1AF" w:rsidR="0058042A" w:rsidRPr="00281F30" w:rsidRDefault="0058042A" w:rsidP="0058042A">
            <w:pPr>
              <w:spacing w:beforeLines="50" w:before="120" w:afterLines="50" w:after="120"/>
              <w:rPr>
                <w:rFonts w:ascii="Times New Roman" w:hAnsi="Times New Roman" w:cs="Times New Roman"/>
              </w:rPr>
            </w:pPr>
            <w:r w:rsidRPr="00281F30">
              <w:rPr>
                <w:rFonts w:ascii="Times New Roman" w:hAnsi="Times New Roman" w:cs="Times New Roman"/>
              </w:rPr>
              <w:t xml:space="preserve">In addition, whether DL receptions outside semi-statically configured DL subband(s) and UL transmissions outside semi-statically configured UL subband are allowed or not in a symbol configured as flexible in </w:t>
            </w:r>
            <w:r w:rsidRPr="00281F30">
              <w:rPr>
                <w:rFonts w:ascii="Times New Roman" w:hAnsi="Times New Roman" w:cs="Times New Roman"/>
                <w:i/>
              </w:rPr>
              <w:t>TDD-UL-DL-</w:t>
            </w:r>
            <w:proofErr w:type="spellStart"/>
            <w:r w:rsidRPr="00281F30">
              <w:rPr>
                <w:rFonts w:ascii="Times New Roman" w:hAnsi="Times New Roman" w:cs="Times New Roman"/>
                <w:i/>
              </w:rPr>
              <w:t>ConfigCommon</w:t>
            </w:r>
            <w:proofErr w:type="spellEnd"/>
            <w:r w:rsidRPr="00281F30">
              <w:rPr>
                <w:rFonts w:ascii="Times New Roman" w:hAnsi="Times New Roman" w:cs="Times New Roman"/>
              </w:rPr>
              <w:t xml:space="preserve"> for SBFD aware </w:t>
            </w:r>
            <w:proofErr w:type="spellStart"/>
            <w:r w:rsidRPr="00281F30">
              <w:rPr>
                <w:rFonts w:ascii="Times New Roman" w:hAnsi="Times New Roman" w:cs="Times New Roman"/>
              </w:rPr>
              <w:t>U</w:t>
            </w:r>
            <w:r w:rsidR="006D0EFE" w:rsidRPr="006D0EFE">
              <w:rPr>
                <w:rFonts w:ascii="Times New Roman" w:hAnsi="Times New Roman" w:cs="Times New Roman"/>
              </w:rPr>
              <w:t>e</w:t>
            </w:r>
            <w:r w:rsidRPr="00281F30">
              <w:rPr>
                <w:rFonts w:ascii="Times New Roman" w:hAnsi="Times New Roman" w:cs="Times New Roman"/>
              </w:rPr>
              <w:t>s</w:t>
            </w:r>
            <w:proofErr w:type="spellEnd"/>
            <w:r w:rsidRPr="00281F30">
              <w:rPr>
                <w:rFonts w:ascii="Times New Roman" w:hAnsi="Times New Roman" w:cs="Times New Roman"/>
              </w:rPr>
              <w:t xml:space="preserve"> are studied based on the following options:</w:t>
            </w:r>
          </w:p>
          <w:p w14:paraId="0151D34D" w14:textId="77777777" w:rsidR="0058042A" w:rsidRPr="0058042A" w:rsidRDefault="0058042A" w:rsidP="0058042A">
            <w:pPr>
              <w:pStyle w:val="B1"/>
              <w:rPr>
                <w:rFonts w:cs="Times New Roman"/>
              </w:rPr>
            </w:pPr>
            <w:r w:rsidRPr="0058042A">
              <w:rPr>
                <w:rFonts w:cs="Times New Roman"/>
              </w:rPr>
              <w:t>-</w:t>
            </w:r>
            <w:r w:rsidRPr="0058042A">
              <w:rPr>
                <w:rFonts w:cs="Times New Roman"/>
              </w:rPr>
              <w:tab/>
              <w:t>Option 1 (semi-static): DL receptions outside semi-statically configured DL subband(s) are not allowed and UL transmissions outside semi-statically configured UL subband are not allowed</w:t>
            </w:r>
          </w:p>
          <w:p w14:paraId="3B23DC95" w14:textId="77777777" w:rsidR="0058042A" w:rsidRPr="0058042A" w:rsidRDefault="0058042A" w:rsidP="0058042A">
            <w:pPr>
              <w:pStyle w:val="B1"/>
              <w:rPr>
                <w:rFonts w:cs="Times New Roman"/>
              </w:rPr>
            </w:pPr>
            <w:r w:rsidRPr="0058042A">
              <w:rPr>
                <w:rFonts w:cs="Times New Roman"/>
              </w:rPr>
              <w:t>-</w:t>
            </w:r>
            <w:r w:rsidRPr="0058042A">
              <w:rPr>
                <w:rFonts w:cs="Times New Roman"/>
              </w:rPr>
              <w:tab/>
              <w:t>Option 2</w:t>
            </w:r>
            <w:r w:rsidRPr="007030AE">
              <w:rPr>
                <w:rFonts w:cs="Times New Roman"/>
              </w:rPr>
              <w:t xml:space="preserve"> (dynamic SBFD)</w:t>
            </w:r>
            <w:r w:rsidRPr="0058042A">
              <w:rPr>
                <w:rFonts w:cs="Times New Roman"/>
              </w:rPr>
              <w:t xml:space="preserve">: DL receptions outside semi-statically configured DL subband(s) are allowed </w:t>
            </w:r>
          </w:p>
          <w:p w14:paraId="69D20F07" w14:textId="77777777" w:rsidR="0058042A" w:rsidRPr="0058042A" w:rsidRDefault="0058042A" w:rsidP="0058042A">
            <w:pPr>
              <w:pStyle w:val="B2"/>
              <w:rPr>
                <w:rFonts w:cs="Times New Roman"/>
              </w:rPr>
            </w:pPr>
            <w:r w:rsidRPr="0058042A">
              <w:rPr>
                <w:rFonts w:cs="Times New Roman"/>
              </w:rPr>
              <w:t>-</w:t>
            </w:r>
            <w:r w:rsidRPr="0058042A">
              <w:rPr>
                <w:rFonts w:cs="Times New Roman"/>
              </w:rPr>
              <w:tab/>
              <w:t>UL transmissions outside the semi-statically configured UL subbands are not allowed</w:t>
            </w:r>
          </w:p>
          <w:p w14:paraId="3A976F1D" w14:textId="77777777" w:rsidR="0058042A" w:rsidRPr="0058042A" w:rsidRDefault="0058042A" w:rsidP="0058042A">
            <w:pPr>
              <w:pStyle w:val="B1"/>
              <w:rPr>
                <w:rFonts w:cs="Times New Roman"/>
              </w:rPr>
            </w:pPr>
            <w:r w:rsidRPr="0058042A">
              <w:rPr>
                <w:rFonts w:cs="Times New Roman"/>
              </w:rPr>
              <w:t>-</w:t>
            </w:r>
            <w:r w:rsidRPr="0058042A">
              <w:rPr>
                <w:rFonts w:cs="Times New Roman"/>
              </w:rPr>
              <w:tab/>
              <w:t>Option 3</w:t>
            </w:r>
            <w:r w:rsidRPr="007030AE">
              <w:rPr>
                <w:rFonts w:cs="Times New Roman"/>
              </w:rPr>
              <w:t xml:space="preserve"> (dynamic SBFD)</w:t>
            </w:r>
            <w:r w:rsidRPr="0058042A">
              <w:rPr>
                <w:rFonts w:cs="Times New Roman"/>
              </w:rPr>
              <w:t>: DL receptions outside semi-statically configured DL subband(s) are allowed</w:t>
            </w:r>
          </w:p>
          <w:p w14:paraId="25D5D182" w14:textId="0F744D99" w:rsidR="0058042A" w:rsidRPr="005B6B19" w:rsidRDefault="0058042A" w:rsidP="005B6B19">
            <w:pPr>
              <w:pStyle w:val="B2"/>
              <w:rPr>
                <w:rFonts w:cs="Times New Roman"/>
              </w:rPr>
            </w:pPr>
            <w:r w:rsidRPr="0058042A">
              <w:rPr>
                <w:rFonts w:cs="Times New Roman"/>
              </w:rPr>
              <w:t>-</w:t>
            </w:r>
            <w:r w:rsidRPr="0058042A">
              <w:rPr>
                <w:rFonts w:cs="Times New Roman"/>
              </w:rPr>
              <w:tab/>
              <w:t>UL transmissions outside the semi-statically configured UL subbands are allowed</w:t>
            </w:r>
          </w:p>
        </w:tc>
      </w:tr>
    </w:tbl>
    <w:p w14:paraId="6127DA3C" w14:textId="345A235F" w:rsidR="005B6B19" w:rsidRDefault="005B6B19" w:rsidP="005725BA">
      <w:pPr>
        <w:pStyle w:val="BodyText"/>
        <w:spacing w:before="240"/>
      </w:pPr>
      <w:r>
        <w:t>Also here, the WID provides some guidance:</w:t>
      </w:r>
    </w:p>
    <w:tbl>
      <w:tblPr>
        <w:tblStyle w:val="TableGrid"/>
        <w:tblW w:w="0" w:type="auto"/>
        <w:tblLook w:val="04A0" w:firstRow="1" w:lastRow="0" w:firstColumn="1" w:lastColumn="0" w:noHBand="0" w:noVBand="1"/>
      </w:tblPr>
      <w:tblGrid>
        <w:gridCol w:w="9629"/>
      </w:tblGrid>
      <w:tr w:rsidR="005B6B19" w14:paraId="49A104A0" w14:textId="77777777" w:rsidTr="005B6B19">
        <w:tc>
          <w:tcPr>
            <w:tcW w:w="9629" w:type="dxa"/>
          </w:tcPr>
          <w:p w14:paraId="030C0B20" w14:textId="77777777" w:rsidR="005B6B19" w:rsidRPr="00AE474D" w:rsidRDefault="005B6B19" w:rsidP="005B6B19">
            <w:pPr>
              <w:rPr>
                <w:rFonts w:ascii="Times New Roman" w:hAnsi="Times New Roman" w:cs="Times New Roman"/>
                <w:lang w:eastAsia="ja-JP"/>
              </w:rPr>
            </w:pPr>
            <w:r w:rsidRPr="00AE474D">
              <w:rPr>
                <w:rFonts w:ascii="Times New Roman" w:hAnsi="Times New Roman" w:cs="Times New Roman"/>
                <w:lang w:eastAsia="ja-JP"/>
              </w:rPr>
              <w:t>WID:</w:t>
            </w:r>
          </w:p>
          <w:p w14:paraId="00137D6E" w14:textId="77777777" w:rsidR="005B6B19" w:rsidRPr="00AE474D" w:rsidRDefault="005B6B19" w:rsidP="005B6B19">
            <w:pPr>
              <w:numPr>
                <w:ilvl w:val="2"/>
                <w:numId w:val="34"/>
              </w:numPr>
              <w:tabs>
                <w:tab w:val="clear" w:pos="1800"/>
                <w:tab w:val="left" w:pos="2160"/>
              </w:tabs>
              <w:spacing w:line="256" w:lineRule="auto"/>
              <w:ind w:left="360" w:right="-99"/>
              <w:rPr>
                <w:rFonts w:ascii="Times New Roman" w:eastAsia="Malgun Gothic" w:hAnsi="Times New Roman" w:cs="Times New Roman"/>
                <w:lang w:eastAsia="ko-KR"/>
              </w:rPr>
            </w:pPr>
            <w:r w:rsidRPr="00AE474D">
              <w:rPr>
                <w:rFonts w:ascii="Times New Roman" w:eastAsia="Malgun Gothic" w:hAnsi="Times New Roman" w:cs="Times New Roman"/>
                <w:lang w:eastAsia="ko-KR"/>
              </w:rPr>
              <w:lastRenderedPageBreak/>
              <w:t xml:space="preserve">Transmission and reception </w:t>
            </w:r>
            <w:proofErr w:type="spellStart"/>
            <w:r w:rsidRPr="00AE474D">
              <w:rPr>
                <w:rFonts w:ascii="Times New Roman" w:eastAsia="Malgun Gothic" w:hAnsi="Times New Roman" w:cs="Times New Roman"/>
                <w:lang w:eastAsia="ko-KR"/>
              </w:rPr>
              <w:t>behaviours</w:t>
            </w:r>
            <w:proofErr w:type="spellEnd"/>
            <w:r w:rsidRPr="00AE474D">
              <w:rPr>
                <w:rFonts w:ascii="Times New Roman" w:eastAsia="Malgun Gothic" w:hAnsi="Times New Roman" w:cs="Times New Roman"/>
                <w:lang w:eastAsia="ko-KR"/>
              </w:rPr>
              <w:t xml:space="preserve"> on SBFD </w:t>
            </w:r>
            <w:proofErr w:type="spellStart"/>
            <w:r w:rsidRPr="00AE474D">
              <w:rPr>
                <w:rFonts w:ascii="Times New Roman" w:eastAsia="Malgun Gothic" w:hAnsi="Times New Roman" w:cs="Times New Roman"/>
                <w:lang w:eastAsia="ko-KR"/>
              </w:rPr>
              <w:t>subbands</w:t>
            </w:r>
            <w:proofErr w:type="spellEnd"/>
            <w:r w:rsidRPr="00AE474D">
              <w:rPr>
                <w:rFonts w:ascii="Times New Roman" w:eastAsia="Malgun Gothic" w:hAnsi="Times New Roman" w:cs="Times New Roman"/>
                <w:lang w:eastAsia="ko-KR"/>
              </w:rPr>
              <w:t xml:space="preserve"> configured in DL and/or flexible symbol indicated by </w:t>
            </w:r>
            <w:r w:rsidRPr="00AE474D">
              <w:rPr>
                <w:rFonts w:ascii="Times New Roman" w:eastAsia="Malgun Gothic" w:hAnsi="Times New Roman" w:cs="Times New Roman"/>
                <w:i/>
                <w:iCs/>
                <w:lang w:eastAsia="ko-KR"/>
              </w:rPr>
              <w:t>TDD-UL-DL-</w:t>
            </w:r>
            <w:proofErr w:type="spellStart"/>
            <w:r w:rsidRPr="00AE474D">
              <w:rPr>
                <w:rFonts w:ascii="Times New Roman" w:eastAsia="Malgun Gothic" w:hAnsi="Times New Roman" w:cs="Times New Roman"/>
                <w:i/>
                <w:iCs/>
                <w:lang w:eastAsia="ko-KR"/>
              </w:rPr>
              <w:t>ConfigCommon</w:t>
            </w:r>
            <w:proofErr w:type="spellEnd"/>
          </w:p>
          <w:p w14:paraId="06BF9E4A" w14:textId="77777777" w:rsidR="005B6B19" w:rsidRPr="00AE474D" w:rsidRDefault="005B6B19" w:rsidP="005B6B19">
            <w:pPr>
              <w:numPr>
                <w:ilvl w:val="3"/>
                <w:numId w:val="34"/>
              </w:numPr>
              <w:tabs>
                <w:tab w:val="clear" w:pos="2520"/>
                <w:tab w:val="left" w:pos="2880"/>
              </w:tabs>
              <w:spacing w:line="256" w:lineRule="auto"/>
              <w:ind w:left="1080" w:right="-99"/>
              <w:rPr>
                <w:rFonts w:ascii="Times New Roman" w:eastAsia="Malgun Gothic" w:hAnsi="Times New Roman" w:cs="Times New Roman"/>
                <w:lang w:eastAsia="ko-KR"/>
              </w:rPr>
            </w:pPr>
            <w:r w:rsidRPr="00AE474D">
              <w:rPr>
                <w:rFonts w:ascii="Times New Roman" w:eastAsia="Malgun Gothic" w:hAnsi="Times New Roman" w:cs="Times New Roman"/>
                <w:lang w:eastAsia="ko-KR"/>
              </w:rPr>
              <w:t>UL transmissions within UL subband only</w:t>
            </w:r>
          </w:p>
          <w:p w14:paraId="00281F46" w14:textId="77777777" w:rsidR="005B6B19" w:rsidRPr="00AE474D" w:rsidRDefault="005B6B19" w:rsidP="005B6B19">
            <w:pPr>
              <w:numPr>
                <w:ilvl w:val="3"/>
                <w:numId w:val="34"/>
              </w:numPr>
              <w:tabs>
                <w:tab w:val="clear" w:pos="2520"/>
                <w:tab w:val="left" w:pos="2880"/>
              </w:tabs>
              <w:spacing w:line="256" w:lineRule="auto"/>
              <w:ind w:left="1080" w:right="-99"/>
              <w:rPr>
                <w:rFonts w:ascii="Times New Roman" w:eastAsia="Malgun Gothic" w:hAnsi="Times New Roman" w:cs="Times New Roman"/>
                <w:lang w:eastAsia="ko-KR"/>
              </w:rPr>
            </w:pPr>
            <w:r w:rsidRPr="00AE474D">
              <w:rPr>
                <w:rFonts w:ascii="Times New Roman" w:eastAsia="Malgun Gothic" w:hAnsi="Times New Roman" w:cs="Times New Roman"/>
                <w:lang w:eastAsia="ko-KR"/>
              </w:rPr>
              <w:t>DL receptions within DL subband(s) only, except for CLI measurement by the UE outside of the DL subbands</w:t>
            </w:r>
          </w:p>
          <w:p w14:paraId="072FA386" w14:textId="1E44713F" w:rsidR="005B6B19" w:rsidRDefault="005B6B19" w:rsidP="005B6B19">
            <w:pPr>
              <w:pStyle w:val="BodyText"/>
              <w:spacing w:before="240"/>
            </w:pPr>
            <w:r w:rsidRPr="00AE474D">
              <w:rPr>
                <w:rFonts w:ascii="Times New Roman" w:eastAsia="Malgun Gothic" w:hAnsi="Times New Roman" w:cs="Times New Roman"/>
                <w:lang w:eastAsia="ko-KR"/>
              </w:rPr>
              <w:t xml:space="preserve">Note: </w:t>
            </w:r>
            <w:r w:rsidRPr="00AE474D">
              <w:rPr>
                <w:rFonts w:ascii="Times New Roman" w:hAnsi="Times New Roman" w:cs="Times New Roman"/>
              </w:rPr>
              <w:t>When flexible symbols are used, it is not expected that any legacy Uplink symbol is converted to Downlink/SBFD symbols</w:t>
            </w:r>
          </w:p>
        </w:tc>
      </w:tr>
    </w:tbl>
    <w:p w14:paraId="73B53312" w14:textId="47A0068B" w:rsidR="00AF0909" w:rsidRDefault="0058042A" w:rsidP="005725BA">
      <w:pPr>
        <w:pStyle w:val="BodyText"/>
        <w:spacing w:before="240"/>
      </w:pPr>
      <w:r>
        <w:lastRenderedPageBreak/>
        <w:t>According to our understanding Alt</w:t>
      </w:r>
      <w:r w:rsidR="00F9146D">
        <w:t xml:space="preserve">. </w:t>
      </w:r>
      <w:r>
        <w:t>2 and Option 2 and 3 are precluded by the WID.</w:t>
      </w:r>
      <w:r w:rsidR="006D0EFE">
        <w:t xml:space="preserve"> </w:t>
      </w:r>
      <w:r w:rsidR="00515D59">
        <w:t>Because the transmission direction is completely determined by the subband configuration,</w:t>
      </w:r>
      <w:r w:rsidR="00AF0909">
        <w:t xml:space="preserve"> there is no ambiguity to be resolved by DCI format 2_0, i.e.,</w:t>
      </w:r>
      <w:r w:rsidR="00515D59">
        <w:t xml:space="preserve"> the SFI carried in DCI format 2_0 carries no information and can be ignored for SBFD symbols.</w:t>
      </w:r>
    </w:p>
    <w:p w14:paraId="7434A41B" w14:textId="5C1CBF4B" w:rsidR="006D617F" w:rsidRDefault="00AF0909" w:rsidP="00BC7758">
      <w:pPr>
        <w:pStyle w:val="Observation"/>
      </w:pPr>
      <w:bookmarkStart w:id="33" w:name="_Toc159243988"/>
      <w:r>
        <w:t>There is no directional ambiguity to be resolved by DCI format 2_0 in SBFD symbols.</w:t>
      </w:r>
      <w:bookmarkEnd w:id="33"/>
    </w:p>
    <w:p w14:paraId="37F4B4E1" w14:textId="54F78DED" w:rsidR="00515D59" w:rsidRDefault="000D55D2" w:rsidP="0061689A">
      <w:pPr>
        <w:pStyle w:val="Proposal"/>
      </w:pPr>
      <w:bookmarkStart w:id="34" w:name="_Toc159244012"/>
      <w:r>
        <w:t>A</w:t>
      </w:r>
      <w:r w:rsidR="00C65746">
        <w:t>n</w:t>
      </w:r>
      <w:r>
        <w:t xml:space="preserve"> SBFD configured</w:t>
      </w:r>
      <w:r w:rsidR="00515D59">
        <w:t xml:space="preserve"> UE ignores SFI carried in DCI format 2_0 </w:t>
      </w:r>
      <w:r w:rsidR="00040D24">
        <w:t>for</w:t>
      </w:r>
      <w:r w:rsidR="00515D59">
        <w:t xml:space="preserve"> SBFD symbols.</w:t>
      </w:r>
      <w:r w:rsidR="0003508E">
        <w:t xml:space="preserve"> For symbols not configured for SBFD operation, the UE still follows the transmission direction indicated by SFI in DCI format 2_0.</w:t>
      </w:r>
      <w:bookmarkEnd w:id="34"/>
    </w:p>
    <w:p w14:paraId="3E28A1C0" w14:textId="0E980FFF" w:rsidR="006D0EFE" w:rsidRPr="00AF5059" w:rsidRDefault="0061666B" w:rsidP="0061689A">
      <w:pPr>
        <w:pStyle w:val="BodyText"/>
      </w:pPr>
      <w:r>
        <w:t>Similar as for the case when a symbol is configured as DL in Sec</w:t>
      </w:r>
      <w:r w:rsidR="005725BA">
        <w:t xml:space="preserve">. </w:t>
      </w:r>
      <w:r>
        <w:t>2.</w:t>
      </w:r>
      <w:r w:rsidR="005725BA">
        <w:t>5</w:t>
      </w:r>
      <w:r>
        <w:t xml:space="preserve">, what remains to be discussed </w:t>
      </w:r>
      <w:r>
        <w:rPr>
          <w:lang w:val="en-GB" w:eastAsia="ja-JP"/>
        </w:rPr>
        <w:t>is how UL and DL should be prioritized, for example for scheduled and configured transmissions. This topic is discussed in Section 2.</w:t>
      </w:r>
      <w:r w:rsidR="005725BA">
        <w:rPr>
          <w:lang w:val="en-GB" w:eastAsia="ja-JP"/>
        </w:rPr>
        <w:t>7</w:t>
      </w:r>
      <w:r>
        <w:rPr>
          <w:lang w:val="en-GB" w:eastAsia="ja-JP"/>
        </w:rPr>
        <w:t xml:space="preserve"> below.</w:t>
      </w:r>
      <w:r>
        <w:t xml:space="preserve"> </w:t>
      </w:r>
    </w:p>
    <w:p w14:paraId="09FD1502" w14:textId="380CB13D" w:rsidR="00666DE9" w:rsidRDefault="00406AD1" w:rsidP="00406AD1">
      <w:pPr>
        <w:pStyle w:val="Heading2"/>
        <w:rPr>
          <w:lang w:val="en-US"/>
        </w:rPr>
      </w:pPr>
      <w:r>
        <w:t>2.</w:t>
      </w:r>
      <w:r w:rsidR="005725BA">
        <w:t>7</w:t>
      </w:r>
      <w:r>
        <w:tab/>
        <w:t>Prioritization rules</w:t>
      </w:r>
    </w:p>
    <w:p w14:paraId="085709FB" w14:textId="09DBF2F5" w:rsidR="001A1CB2" w:rsidRDefault="00661CA1" w:rsidP="00E27508">
      <w:pPr>
        <w:jc w:val="both"/>
        <w:rPr>
          <w:lang w:eastAsia="ja-JP"/>
        </w:rPr>
      </w:pPr>
      <w:r>
        <w:rPr>
          <w:lang w:eastAsia="ja-JP"/>
        </w:rPr>
        <w:t xml:space="preserve">Due to the half-duplex assumption at the UE, prioritization rules between DL reception and UL transmission need to be defined for SBFD capable UEs. </w:t>
      </w:r>
      <w:r w:rsidR="00E27508">
        <w:rPr>
          <w:lang w:eastAsia="ja-JP"/>
        </w:rPr>
        <w:t xml:space="preserve">TS </w:t>
      </w:r>
      <w:r w:rsidR="001A1CB2">
        <w:rPr>
          <w:lang w:eastAsia="ja-JP"/>
        </w:rPr>
        <w:t>38.213</w:t>
      </w:r>
      <w:r w:rsidR="00E27508">
        <w:rPr>
          <w:lang w:eastAsia="ja-JP"/>
        </w:rPr>
        <w:t>,</w:t>
      </w:r>
      <w:r w:rsidR="001A1CB2">
        <w:rPr>
          <w:lang w:eastAsia="ja-JP"/>
        </w:rPr>
        <w:t xml:space="preserve"> §11 already specifies prioritization rules between transmission and reception</w:t>
      </w:r>
      <w:r w:rsidR="007A20CA">
        <w:rPr>
          <w:lang w:eastAsia="ja-JP"/>
        </w:rPr>
        <w:t xml:space="preserve"> for non-SBFD symbols</w:t>
      </w:r>
      <w:r w:rsidR="001A1CB2">
        <w:rPr>
          <w:lang w:eastAsia="ja-JP"/>
        </w:rPr>
        <w:t xml:space="preserve">. </w:t>
      </w:r>
      <w:proofErr w:type="gramStart"/>
      <w:r w:rsidR="007A20CA">
        <w:rPr>
          <w:lang w:eastAsia="ja-JP"/>
        </w:rPr>
        <w:t>In particular the</w:t>
      </w:r>
      <w:proofErr w:type="gramEnd"/>
      <w:r w:rsidR="007A20CA">
        <w:rPr>
          <w:lang w:eastAsia="ja-JP"/>
        </w:rPr>
        <w:t xml:space="preserve"> rules that are applicable for flexible symbols can be used as a basis for SBFD symbols. F</w:t>
      </w:r>
      <w:r w:rsidR="001A1CB2">
        <w:rPr>
          <w:lang w:eastAsia="ja-JP"/>
        </w:rPr>
        <w:t xml:space="preserve">or </w:t>
      </w:r>
      <w:r w:rsidR="0024587E">
        <w:rPr>
          <w:lang w:eastAsia="ja-JP"/>
        </w:rPr>
        <w:t>example,</w:t>
      </w:r>
      <w:r w:rsidR="001A1CB2">
        <w:rPr>
          <w:lang w:eastAsia="ja-JP"/>
        </w:rPr>
        <w:t xml:space="preserve"> the </w:t>
      </w:r>
      <w:r w:rsidR="00E27508">
        <w:rPr>
          <w:lang w:eastAsia="ja-JP"/>
        </w:rPr>
        <w:t>rule</w:t>
      </w:r>
      <w:r w:rsidR="001A1CB2">
        <w:rPr>
          <w:lang w:eastAsia="ja-JP"/>
        </w:rPr>
        <w:t xml:space="preserve"> cited below (and the corresponding one for UL transmission), makes sense also </w:t>
      </w:r>
      <w:r w:rsidR="007A20CA">
        <w:rPr>
          <w:lang w:eastAsia="ja-JP"/>
        </w:rPr>
        <w:t>in SBFD symbols</w:t>
      </w:r>
      <w:r w:rsidR="001A1CB2">
        <w:rPr>
          <w:lang w:eastAsia="ja-JP"/>
        </w:rPr>
        <w:t xml:space="preserve">. This rule </w:t>
      </w:r>
      <w:r w:rsidR="007A20CA">
        <w:rPr>
          <w:lang w:eastAsia="ja-JP"/>
        </w:rPr>
        <w:t>basically</w:t>
      </w:r>
      <w:r w:rsidR="001A1CB2">
        <w:rPr>
          <w:lang w:eastAsia="ja-JP"/>
        </w:rPr>
        <w:t xml:space="preserve"> states that scheduled transmission and reception have priority over configured transmission and reception.</w:t>
      </w:r>
    </w:p>
    <w:tbl>
      <w:tblPr>
        <w:tblStyle w:val="TableGrid"/>
        <w:tblW w:w="0" w:type="auto"/>
        <w:tblLook w:val="04A0" w:firstRow="1" w:lastRow="0" w:firstColumn="1" w:lastColumn="0" w:noHBand="0" w:noVBand="1"/>
      </w:tblPr>
      <w:tblGrid>
        <w:gridCol w:w="9629"/>
      </w:tblGrid>
      <w:tr w:rsidR="001A1CB2" w14:paraId="1DACDD3E" w14:textId="77777777" w:rsidTr="001A1CB2">
        <w:tc>
          <w:tcPr>
            <w:tcW w:w="0" w:type="auto"/>
          </w:tcPr>
          <w:p w14:paraId="0B3911EE" w14:textId="740DD22A" w:rsidR="000B3750" w:rsidRDefault="000B3750" w:rsidP="00661CA1">
            <w:pPr>
              <w:rPr>
                <w:rFonts w:ascii="Times New Roman" w:hAnsi="Times New Roman" w:cs="Times New Roman"/>
              </w:rPr>
            </w:pPr>
            <w:r>
              <w:rPr>
                <w:rFonts w:ascii="Times New Roman" w:hAnsi="Times New Roman" w:cs="Times New Roman"/>
              </w:rPr>
              <w:t>TS 38.213</w:t>
            </w:r>
            <w:r w:rsidR="00E27508">
              <w:rPr>
                <w:rFonts w:ascii="Times New Roman" w:hAnsi="Times New Roman" w:cs="Times New Roman"/>
              </w:rPr>
              <w:t>,</w:t>
            </w:r>
            <w:r>
              <w:rPr>
                <w:rFonts w:ascii="Times New Roman" w:hAnsi="Times New Roman" w:cs="Times New Roman"/>
              </w:rPr>
              <w:t xml:space="preserve"> §11:</w:t>
            </w:r>
          </w:p>
          <w:p w14:paraId="769DC574" w14:textId="363E330C" w:rsidR="001A1CB2" w:rsidRPr="00281F30" w:rsidRDefault="001A1CB2" w:rsidP="00661CA1">
            <w:pPr>
              <w:rPr>
                <w:rFonts w:ascii="Times New Roman" w:hAnsi="Times New Roman" w:cs="Times New Roman"/>
                <w:lang w:eastAsia="ja-JP"/>
              </w:rPr>
            </w:pPr>
            <w:r w:rsidRPr="00281F30">
              <w:rPr>
                <w:rFonts w:ascii="Times New Roman" w:hAnsi="Times New Roman" w:cs="Times New Roman"/>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p>
        </w:tc>
      </w:tr>
    </w:tbl>
    <w:p w14:paraId="7D0880C1" w14:textId="77777777" w:rsidR="001A1CB2" w:rsidRDefault="001A1CB2" w:rsidP="00661CA1">
      <w:pPr>
        <w:rPr>
          <w:lang w:eastAsia="ja-JP"/>
        </w:rPr>
      </w:pPr>
    </w:p>
    <w:p w14:paraId="5B316860" w14:textId="71C9A575" w:rsidR="000B3750" w:rsidRDefault="000B3750" w:rsidP="00B67EFF">
      <w:pPr>
        <w:pStyle w:val="Observation"/>
        <w:rPr>
          <w:lang w:eastAsia="ja-JP"/>
        </w:rPr>
      </w:pPr>
      <w:bookmarkStart w:id="35" w:name="_Toc159243989"/>
      <w:r>
        <w:t xml:space="preserve">Current specifications already specify that scheduled transmissions have priority over configured transmissions which is also </w:t>
      </w:r>
      <w:r w:rsidR="00E27508">
        <w:t>a reasonable</w:t>
      </w:r>
      <w:r>
        <w:t xml:space="preserve"> prioritization for SBFD symbols.</w:t>
      </w:r>
      <w:bookmarkEnd w:id="35"/>
    </w:p>
    <w:p w14:paraId="660D99E6" w14:textId="271B1208" w:rsidR="001A1CB2" w:rsidRDefault="007A20CA" w:rsidP="00E27508">
      <w:pPr>
        <w:jc w:val="both"/>
        <w:rPr>
          <w:lang w:eastAsia="ja-JP"/>
        </w:rPr>
      </w:pPr>
      <w:r>
        <w:rPr>
          <w:lang w:eastAsia="ja-JP"/>
        </w:rPr>
        <w:t xml:space="preserve">Another rule that can be used as a baseline is the following regarding </w:t>
      </w:r>
      <w:r w:rsidR="0024587E">
        <w:rPr>
          <w:lang w:eastAsia="ja-JP"/>
        </w:rPr>
        <w:t>configuration of UL transmission and DL reception in flexible symbols. We think this restriction makes sense also for SBFD symbols.</w:t>
      </w:r>
    </w:p>
    <w:tbl>
      <w:tblPr>
        <w:tblStyle w:val="TableGrid"/>
        <w:tblW w:w="0" w:type="auto"/>
        <w:tblLook w:val="04A0" w:firstRow="1" w:lastRow="0" w:firstColumn="1" w:lastColumn="0" w:noHBand="0" w:noVBand="1"/>
      </w:tblPr>
      <w:tblGrid>
        <w:gridCol w:w="9629"/>
      </w:tblGrid>
      <w:tr w:rsidR="0024587E" w14:paraId="078C25F7" w14:textId="77777777" w:rsidTr="0024587E">
        <w:tc>
          <w:tcPr>
            <w:tcW w:w="0" w:type="auto"/>
          </w:tcPr>
          <w:p w14:paraId="56741E4B" w14:textId="6CE5132A" w:rsidR="0024587E" w:rsidRPr="00281F30" w:rsidRDefault="0024587E" w:rsidP="00661CA1">
            <w:pPr>
              <w:rPr>
                <w:rFonts w:ascii="Times New Roman" w:hAnsi="Times New Roman" w:cs="Times New Roman"/>
              </w:rPr>
            </w:pPr>
            <w:r w:rsidRPr="00281F30">
              <w:rPr>
                <w:rFonts w:ascii="Times New Roman" w:hAnsi="Times New Roman" w:cs="Times New Roman"/>
              </w:rPr>
              <w:t>TS 38.213</w:t>
            </w:r>
            <w:r w:rsidR="00E27508">
              <w:rPr>
                <w:rFonts w:ascii="Times New Roman" w:hAnsi="Times New Roman" w:cs="Times New Roman"/>
              </w:rPr>
              <w:t>,</w:t>
            </w:r>
            <w:r w:rsidRPr="00281F30">
              <w:rPr>
                <w:rFonts w:ascii="Times New Roman" w:hAnsi="Times New Roman" w:cs="Times New Roman"/>
              </w:rPr>
              <w:t xml:space="preserve"> §11:</w:t>
            </w:r>
          </w:p>
          <w:p w14:paraId="385DF4FB" w14:textId="412C2AD6" w:rsidR="0024587E" w:rsidRDefault="0024587E" w:rsidP="00661CA1">
            <w:pPr>
              <w:rPr>
                <w:lang w:eastAsia="ja-JP"/>
              </w:rPr>
            </w:pPr>
            <w:r w:rsidRPr="00281F30">
              <w:rPr>
                <w:rFonts w:ascii="Times New Roman" w:hAnsi="Times New Roman" w:cs="Times New Roman"/>
              </w:rPr>
              <w:t xml:space="preserve">For a set of symbols of a slot that are indicated to a UE as flexible by </w:t>
            </w:r>
            <w:proofErr w:type="spellStart"/>
            <w:r w:rsidRPr="00281F30">
              <w:rPr>
                <w:rFonts w:ascii="Times New Roman" w:hAnsi="Times New Roman" w:cs="Times New Roman"/>
              </w:rPr>
              <w:t>tdd</w:t>
            </w:r>
            <w:proofErr w:type="spellEnd"/>
            <w:r w:rsidRPr="00281F30">
              <w:rPr>
                <w:rFonts w:ascii="Times New Roman" w:hAnsi="Times New Roman" w:cs="Times New Roman"/>
              </w:rPr>
              <w:t>-UL-DL-</w:t>
            </w:r>
            <w:proofErr w:type="spellStart"/>
            <w:r w:rsidRPr="00281F30">
              <w:rPr>
                <w:rFonts w:ascii="Times New Roman" w:hAnsi="Times New Roman" w:cs="Times New Roman"/>
              </w:rPr>
              <w:t>ConfigurationCommon</w:t>
            </w:r>
            <w:proofErr w:type="spellEnd"/>
            <w:r w:rsidRPr="00281F30">
              <w:rPr>
                <w:rFonts w:ascii="Times New Roman" w:hAnsi="Times New Roman" w:cs="Times New Roman"/>
              </w:rPr>
              <w:t xml:space="preserve">, and </w:t>
            </w:r>
            <w:proofErr w:type="spellStart"/>
            <w:r w:rsidRPr="00281F30">
              <w:rPr>
                <w:rFonts w:ascii="Times New Roman" w:hAnsi="Times New Roman" w:cs="Times New Roman"/>
              </w:rPr>
              <w:t>tdd</w:t>
            </w:r>
            <w:proofErr w:type="spellEnd"/>
            <w:r w:rsidRPr="00281F30">
              <w:rPr>
                <w:rFonts w:ascii="Times New Roman" w:hAnsi="Times New Roman" w:cs="Times New Roman"/>
              </w:rPr>
              <w:t>-ULDL-</w:t>
            </w:r>
            <w:proofErr w:type="spellStart"/>
            <w:r w:rsidRPr="00281F30">
              <w:rPr>
                <w:rFonts w:ascii="Times New Roman" w:hAnsi="Times New Roman" w:cs="Times New Roman"/>
              </w:rPr>
              <w:t>ConfigurationDedicated</w:t>
            </w:r>
            <w:proofErr w:type="spellEnd"/>
            <w:r w:rsidRPr="00281F30">
              <w:rPr>
                <w:rFonts w:ascii="Times New Roman" w:hAnsi="Times New Roman" w:cs="Times New Roman"/>
              </w:rPr>
              <w:t xml:space="preserve"> if provided, the UE does not expect to receive both dedicated higher layer parameters configuring transmission from the UE in the set of symbols of the slot and dedicated higher layer parameters configuring reception by the UE in the set of symbols of the slot.</w:t>
            </w:r>
          </w:p>
        </w:tc>
      </w:tr>
    </w:tbl>
    <w:p w14:paraId="548F971E" w14:textId="5ECA065E" w:rsidR="0024587E" w:rsidRDefault="0024587E" w:rsidP="00661CA1">
      <w:pPr>
        <w:rPr>
          <w:lang w:eastAsia="ja-JP"/>
        </w:rPr>
      </w:pPr>
    </w:p>
    <w:p w14:paraId="2E5C7B8B" w14:textId="4BD9FBA3" w:rsidR="007A20CA" w:rsidRDefault="0024587E" w:rsidP="00B67EFF">
      <w:pPr>
        <w:pStyle w:val="Proposal"/>
        <w:rPr>
          <w:lang w:eastAsia="ja-JP"/>
        </w:rPr>
      </w:pPr>
      <w:bookmarkStart w:id="36" w:name="_Hlk158622040"/>
      <w:bookmarkStart w:id="37" w:name="_Toc159244013"/>
      <w:r>
        <w:t xml:space="preserve">The UE is not expected to receive dedicated higher layer signaling configuring </w:t>
      </w:r>
      <w:r w:rsidR="00256DFD">
        <w:t>both</w:t>
      </w:r>
      <w:r>
        <w:t xml:space="preserve"> transmission and reception in </w:t>
      </w:r>
      <w:r w:rsidR="00256DFD">
        <w:t>the same</w:t>
      </w:r>
      <w:r>
        <w:t xml:space="preserve"> SBFD symbol.</w:t>
      </w:r>
      <w:bookmarkEnd w:id="36"/>
      <w:bookmarkEnd w:id="37"/>
    </w:p>
    <w:p w14:paraId="78FE24C9" w14:textId="4D726881" w:rsidR="00661CA1" w:rsidRDefault="00E27508" w:rsidP="00E27508">
      <w:pPr>
        <w:jc w:val="both"/>
        <w:rPr>
          <w:lang w:eastAsia="ja-JP"/>
        </w:rPr>
      </w:pPr>
      <w:r>
        <w:rPr>
          <w:lang w:eastAsia="ja-JP"/>
        </w:rPr>
        <w:t xml:space="preserve">In our view, prioritization in SBFD is </w:t>
      </w:r>
      <w:proofErr w:type="gramStart"/>
      <w:r>
        <w:rPr>
          <w:lang w:eastAsia="ja-JP"/>
        </w:rPr>
        <w:t>similar to</w:t>
      </w:r>
      <w:proofErr w:type="gramEnd"/>
      <w:r>
        <w:rPr>
          <w:lang w:eastAsia="ja-JP"/>
        </w:rPr>
        <w:t xml:space="preserve"> that for </w:t>
      </w:r>
      <w:r w:rsidR="00F4635E">
        <w:rPr>
          <w:lang w:eastAsia="ja-JP"/>
        </w:rPr>
        <w:t>half-duplex UEs in paired spectrum</w:t>
      </w:r>
      <w:r w:rsidR="00B954A6">
        <w:rPr>
          <w:lang w:eastAsia="ja-JP"/>
        </w:rPr>
        <w:t xml:space="preserve"> (HD-UE)</w:t>
      </w:r>
      <w:r>
        <w:rPr>
          <w:lang w:eastAsia="ja-JP"/>
        </w:rPr>
        <w:t>. Hence,</w:t>
      </w:r>
      <w:r w:rsidR="00F4635E">
        <w:rPr>
          <w:lang w:eastAsia="ja-JP"/>
        </w:rPr>
        <w:t xml:space="preserve"> in our view, rules for such UEs can be used as a baseline also for SBFD capable UEs.</w:t>
      </w:r>
    </w:p>
    <w:p w14:paraId="4C7CEF46" w14:textId="1BE532B6" w:rsidR="00F4635E" w:rsidRDefault="00A401D1" w:rsidP="00BC7758">
      <w:pPr>
        <w:pStyle w:val="Observation"/>
      </w:pPr>
      <w:bookmarkStart w:id="38" w:name="_Toc159243990"/>
      <w:r>
        <w:t>Use prioritization rules for half-duplex UEs in paired spectrum (HD-UE) as a starting point for p</w:t>
      </w:r>
      <w:r w:rsidR="00F4635E">
        <w:t>rioritization rules between DL reception and UL transmission for SBFD capable UEs.</w:t>
      </w:r>
      <w:bookmarkEnd w:id="38"/>
    </w:p>
    <w:p w14:paraId="36B164EE" w14:textId="2409DA12" w:rsidR="00D5432A" w:rsidRPr="00D5432A" w:rsidRDefault="00D5432A" w:rsidP="00E27508">
      <w:pPr>
        <w:jc w:val="both"/>
        <w:rPr>
          <w:rFonts w:cs="Arial"/>
          <w:szCs w:val="20"/>
          <w:lang w:eastAsia="ja-JP"/>
        </w:rPr>
      </w:pPr>
      <w:r w:rsidRPr="00D5432A">
        <w:rPr>
          <w:szCs w:val="20"/>
          <w:lang w:eastAsia="ja-JP"/>
        </w:rPr>
        <w:t>The rules for HD-UEs can be summarized as follows</w:t>
      </w:r>
      <w:r w:rsidR="00283C40">
        <w:rPr>
          <w:szCs w:val="20"/>
          <w:lang w:eastAsia="ja-JP"/>
        </w:rPr>
        <w:t>:</w:t>
      </w:r>
    </w:p>
    <w:p w14:paraId="6D382015" w14:textId="3EF36FC1" w:rsidR="00D5432A" w:rsidRPr="00281F30" w:rsidRDefault="00D5432A" w:rsidP="00E27508">
      <w:pPr>
        <w:pStyle w:val="ListParagraph"/>
        <w:numPr>
          <w:ilvl w:val="0"/>
          <w:numId w:val="35"/>
        </w:numPr>
        <w:jc w:val="both"/>
        <w:rPr>
          <w:rFonts w:ascii="Arial" w:hAnsi="Arial" w:cs="Arial"/>
          <w:sz w:val="20"/>
          <w:szCs w:val="20"/>
          <w:lang w:eastAsia="ja-JP"/>
        </w:rPr>
      </w:pPr>
      <w:r w:rsidRPr="00281F30">
        <w:rPr>
          <w:rFonts w:ascii="Arial" w:hAnsi="Arial" w:cs="Arial"/>
          <w:sz w:val="20"/>
          <w:szCs w:val="20"/>
          <w:lang w:val="en-US" w:eastAsia="ja-JP"/>
        </w:rPr>
        <w:t>Scheduled transmission/reception has priority over configured transmission/reception.</w:t>
      </w:r>
    </w:p>
    <w:p w14:paraId="22D81FEC" w14:textId="6299D9B9" w:rsidR="00D5432A" w:rsidRPr="00281F30" w:rsidRDefault="00D5432A" w:rsidP="00E27508">
      <w:pPr>
        <w:pStyle w:val="ListParagraph"/>
        <w:numPr>
          <w:ilvl w:val="0"/>
          <w:numId w:val="35"/>
        </w:numPr>
        <w:jc w:val="both"/>
        <w:rPr>
          <w:rFonts w:ascii="Arial" w:hAnsi="Arial" w:cs="Arial"/>
          <w:sz w:val="20"/>
          <w:szCs w:val="20"/>
          <w:lang w:eastAsia="ja-JP"/>
        </w:rPr>
      </w:pPr>
      <w:r>
        <w:rPr>
          <w:rFonts w:ascii="Arial" w:hAnsi="Arial" w:cs="Arial"/>
          <w:sz w:val="20"/>
          <w:szCs w:val="20"/>
          <w:lang w:val="en-US" w:eastAsia="ja-JP"/>
        </w:rPr>
        <w:t xml:space="preserve">The UE does not expect to be </w:t>
      </w:r>
      <w:r w:rsidR="00115A2E">
        <w:rPr>
          <w:rFonts w:ascii="Arial" w:hAnsi="Arial" w:cs="Arial"/>
          <w:sz w:val="20"/>
          <w:szCs w:val="20"/>
          <w:lang w:val="en-US" w:eastAsia="ja-JP"/>
        </w:rPr>
        <w:t xml:space="preserve">dynamically </w:t>
      </w:r>
      <w:r>
        <w:rPr>
          <w:rFonts w:ascii="Arial" w:hAnsi="Arial" w:cs="Arial"/>
          <w:sz w:val="20"/>
          <w:szCs w:val="20"/>
          <w:lang w:val="en-US" w:eastAsia="ja-JP"/>
        </w:rPr>
        <w:t>scheduled for both transmission and reception in a symbol.</w:t>
      </w:r>
    </w:p>
    <w:p w14:paraId="5E3A223B" w14:textId="6A666478" w:rsidR="00D5432A" w:rsidRPr="00281F30" w:rsidRDefault="00D5432A" w:rsidP="00E27508">
      <w:pPr>
        <w:pStyle w:val="ListParagraph"/>
        <w:numPr>
          <w:ilvl w:val="0"/>
          <w:numId w:val="35"/>
        </w:numPr>
        <w:jc w:val="both"/>
        <w:rPr>
          <w:rFonts w:ascii="Arial" w:hAnsi="Arial" w:cs="Arial"/>
          <w:sz w:val="20"/>
          <w:szCs w:val="20"/>
          <w:lang w:eastAsia="ja-JP"/>
        </w:rPr>
      </w:pPr>
      <w:r>
        <w:rPr>
          <w:rFonts w:ascii="Arial" w:hAnsi="Arial" w:cs="Arial"/>
          <w:sz w:val="20"/>
          <w:szCs w:val="20"/>
          <w:lang w:val="en-US" w:eastAsia="ja-JP"/>
        </w:rPr>
        <w:t>The UE does not expect to be configured for both transmission and reception in a symbol using dedicated signaling.</w:t>
      </w:r>
    </w:p>
    <w:p w14:paraId="75293B30" w14:textId="157AFC6D" w:rsidR="00D5432A" w:rsidRPr="00281F30" w:rsidRDefault="00283C40" w:rsidP="00E27508">
      <w:pPr>
        <w:pStyle w:val="ListParagraph"/>
        <w:numPr>
          <w:ilvl w:val="0"/>
          <w:numId w:val="35"/>
        </w:numPr>
        <w:jc w:val="both"/>
        <w:rPr>
          <w:rFonts w:ascii="Arial" w:hAnsi="Arial" w:cs="Arial"/>
          <w:sz w:val="20"/>
          <w:szCs w:val="20"/>
          <w:lang w:eastAsia="ja-JP"/>
        </w:rPr>
      </w:pPr>
      <w:r>
        <w:rPr>
          <w:rFonts w:ascii="Arial" w:hAnsi="Arial" w:cs="Arial"/>
          <w:sz w:val="20"/>
          <w:szCs w:val="20"/>
          <w:lang w:val="en-US" w:eastAsia="ja-JP"/>
        </w:rPr>
        <w:t>The UE does not transmit (except some cases of PRACH) in SSB symbols indicated by the serving cell.</w:t>
      </w:r>
    </w:p>
    <w:p w14:paraId="4469C79E" w14:textId="3CCC5A2F" w:rsidR="00283C40" w:rsidRPr="00281F30" w:rsidRDefault="009E57A4" w:rsidP="00E27508">
      <w:pPr>
        <w:pStyle w:val="ListParagraph"/>
        <w:numPr>
          <w:ilvl w:val="0"/>
          <w:numId w:val="35"/>
        </w:numPr>
        <w:jc w:val="both"/>
        <w:rPr>
          <w:rFonts w:ascii="Arial" w:hAnsi="Arial" w:cs="Arial"/>
          <w:sz w:val="20"/>
          <w:szCs w:val="20"/>
          <w:lang w:eastAsia="ja-JP"/>
        </w:rPr>
      </w:pPr>
      <w:r>
        <w:rPr>
          <w:rFonts w:ascii="Arial" w:hAnsi="Arial" w:cs="Arial"/>
          <w:sz w:val="20"/>
          <w:szCs w:val="20"/>
          <w:lang w:val="en-US" w:eastAsia="ja-JP"/>
        </w:rPr>
        <w:t>The UE does not transmit in SSB symbols to be measured for RRM measurements.</w:t>
      </w:r>
    </w:p>
    <w:p w14:paraId="06AC896E" w14:textId="71A32129" w:rsidR="009E57A4" w:rsidRDefault="009E57A4" w:rsidP="009E57A4">
      <w:pPr>
        <w:rPr>
          <w:rFonts w:cs="Arial"/>
          <w:szCs w:val="20"/>
          <w:lang w:eastAsia="ja-JP"/>
        </w:rPr>
      </w:pPr>
    </w:p>
    <w:p w14:paraId="4D56C681" w14:textId="42D72FF5" w:rsidR="004F1B5B" w:rsidRPr="00F700DF" w:rsidRDefault="004F1B5B" w:rsidP="004F1B5B">
      <w:pPr>
        <w:pStyle w:val="Heading3"/>
        <w:rPr>
          <w:lang w:val="en-US"/>
        </w:rPr>
      </w:pPr>
      <w:r>
        <w:rPr>
          <w:lang w:val="en-US"/>
        </w:rPr>
        <w:t>2.</w:t>
      </w:r>
      <w:r w:rsidR="005725BA">
        <w:rPr>
          <w:lang w:val="en-US"/>
        </w:rPr>
        <w:t>7</w:t>
      </w:r>
      <w:r>
        <w:rPr>
          <w:lang w:val="en-US"/>
        </w:rPr>
        <w:t>.</w:t>
      </w:r>
      <w:r w:rsidR="009D6FF0">
        <w:rPr>
          <w:lang w:val="en-US"/>
        </w:rPr>
        <w:t>1</w:t>
      </w:r>
      <w:r>
        <w:rPr>
          <w:lang w:val="en-US"/>
        </w:rPr>
        <w:tab/>
        <w:t xml:space="preserve">Prioritization for UL transmissions in symbols configured as </w:t>
      </w:r>
      <w:proofErr w:type="gramStart"/>
      <w:r>
        <w:rPr>
          <w:lang w:val="en-US"/>
        </w:rPr>
        <w:t>DL</w:t>
      </w:r>
      <w:proofErr w:type="gramEnd"/>
    </w:p>
    <w:p w14:paraId="10B10BEF" w14:textId="0687DF0C" w:rsidR="004F1B5B" w:rsidRDefault="004F1B5B" w:rsidP="00E27508">
      <w:pPr>
        <w:jc w:val="both"/>
        <w:rPr>
          <w:lang w:val="en-GB" w:eastAsia="ja-JP"/>
        </w:rPr>
      </w:pPr>
      <w:r>
        <w:rPr>
          <w:lang w:val="en-GB" w:eastAsia="ja-JP"/>
        </w:rPr>
        <w:t xml:space="preserve">It is agreed that SBFD can be configured on symbols </w:t>
      </w:r>
      <w:r w:rsidRPr="00401D23">
        <w:rPr>
          <w:lang w:val="en-GB" w:eastAsia="ja-JP"/>
        </w:rPr>
        <w:t xml:space="preserve">configured as DL in </w:t>
      </w:r>
      <w:r w:rsidRPr="009F757E">
        <w:rPr>
          <w:i/>
          <w:iCs/>
          <w:lang w:val="en-GB" w:eastAsia="ja-JP"/>
        </w:rPr>
        <w:t>TDD-UL-DL-</w:t>
      </w:r>
      <w:proofErr w:type="spellStart"/>
      <w:r w:rsidRPr="009F757E">
        <w:rPr>
          <w:i/>
          <w:iCs/>
          <w:lang w:val="en-GB" w:eastAsia="ja-JP"/>
        </w:rPr>
        <w:t>ConfigCommon</w:t>
      </w:r>
      <w:proofErr w:type="spellEnd"/>
      <w:r>
        <w:rPr>
          <w:lang w:val="en-GB" w:eastAsia="ja-JP"/>
        </w:rPr>
        <w:t xml:space="preserve">, i.e., some UEs could be scheduled to transmit UL in UL subband of those symbols. However, current specification [TS 38.213] states that the UEs could not transmit </w:t>
      </w:r>
      <w:r w:rsidRPr="008E42BC">
        <w:rPr>
          <w:lang w:val="en-GB" w:eastAsia="ja-JP"/>
        </w:rPr>
        <w:t>PUSCH, PUCCH, PRACH, or SRS</w:t>
      </w:r>
      <w:r>
        <w:rPr>
          <w:lang w:val="en-GB" w:eastAsia="ja-JP"/>
        </w:rPr>
        <w:t xml:space="preserve"> in those symbols, i.e.,</w:t>
      </w:r>
    </w:p>
    <w:tbl>
      <w:tblPr>
        <w:tblStyle w:val="TableGrid"/>
        <w:tblW w:w="0" w:type="auto"/>
        <w:tblLook w:val="04A0" w:firstRow="1" w:lastRow="0" w:firstColumn="1" w:lastColumn="0" w:noHBand="0" w:noVBand="1"/>
      </w:tblPr>
      <w:tblGrid>
        <w:gridCol w:w="9629"/>
      </w:tblGrid>
      <w:tr w:rsidR="004F1B5B" w14:paraId="2C715DE8" w14:textId="77777777">
        <w:tc>
          <w:tcPr>
            <w:tcW w:w="0" w:type="auto"/>
          </w:tcPr>
          <w:p w14:paraId="73239CFF" w14:textId="77777777" w:rsidR="004F1B5B" w:rsidRPr="00281F30" w:rsidRDefault="004F1B5B">
            <w:pPr>
              <w:rPr>
                <w:rFonts w:ascii="Times New Roman" w:hAnsi="Times New Roman" w:cs="Times New Roman"/>
              </w:rPr>
            </w:pPr>
            <w:bookmarkStart w:id="39" w:name="_Hlk157416412"/>
            <w:r w:rsidRPr="00281F30">
              <w:rPr>
                <w:rFonts w:ascii="Times New Roman" w:hAnsi="Times New Roman" w:cs="Times New Roman"/>
              </w:rPr>
              <w:t>TS 38.213 §11:</w:t>
            </w:r>
          </w:p>
          <w:p w14:paraId="384AE649" w14:textId="77777777" w:rsidR="004F1B5B" w:rsidRPr="00D30DB3" w:rsidRDefault="004F1B5B">
            <w:pPr>
              <w:rPr>
                <w:lang w:eastAsia="ja-JP"/>
              </w:rPr>
            </w:pPr>
            <w:r w:rsidRPr="009F757E">
              <w:rPr>
                <w:rFonts w:ascii="Times New Roman" w:hAnsi="Times New Roman" w:cs="Times New Roman"/>
              </w:rPr>
              <w:t xml:space="preserve">For </w:t>
            </w:r>
            <w:bookmarkStart w:id="40" w:name="_Hlk157418802"/>
            <w:r w:rsidRPr="009F757E">
              <w:rPr>
                <w:rFonts w:ascii="Times New Roman" w:hAnsi="Times New Roman" w:cs="Times New Roman"/>
              </w:rPr>
              <w:t xml:space="preserve">a </w:t>
            </w:r>
            <w:r w:rsidRPr="00393BE0">
              <w:rPr>
                <w:rFonts w:ascii="Times New Roman" w:hAnsi="Times New Roman" w:cs="Times New Roman"/>
              </w:rPr>
              <w:t xml:space="preserve">set of symbols of a slot that are indicated to a UE as downlink by </w:t>
            </w:r>
            <w:proofErr w:type="spellStart"/>
            <w:r w:rsidRPr="00393BE0">
              <w:rPr>
                <w:rFonts w:ascii="Times New Roman" w:hAnsi="Times New Roman" w:cs="Times New Roman"/>
                <w:i/>
              </w:rPr>
              <w:t>tdd</w:t>
            </w:r>
            <w:proofErr w:type="spellEnd"/>
            <w:r w:rsidRPr="00393BE0">
              <w:rPr>
                <w:rFonts w:ascii="Times New Roman" w:hAnsi="Times New Roman" w:cs="Times New Roman"/>
                <w:i/>
              </w:rPr>
              <w:t>-UL-DL-</w:t>
            </w:r>
            <w:proofErr w:type="spellStart"/>
            <w:r w:rsidRPr="00393BE0">
              <w:rPr>
                <w:rFonts w:ascii="Times New Roman" w:hAnsi="Times New Roman" w:cs="Times New Roman"/>
                <w:i/>
              </w:rPr>
              <w:t>ConfigurationCommon</w:t>
            </w:r>
            <w:bookmarkEnd w:id="40"/>
            <w:proofErr w:type="spellEnd"/>
            <w:r w:rsidRPr="009F757E">
              <w:rPr>
                <w:rFonts w:ascii="Times New Roman" w:hAnsi="Times New Roman" w:cs="Times New Roman"/>
              </w:rPr>
              <w:t xml:space="preserve">, or </w:t>
            </w:r>
            <w:proofErr w:type="spellStart"/>
            <w:r w:rsidRPr="00393BE0">
              <w:rPr>
                <w:rFonts w:ascii="Times New Roman" w:hAnsi="Times New Roman" w:cs="Times New Roman"/>
                <w:i/>
              </w:rPr>
              <w:t>tdd</w:t>
            </w:r>
            <w:proofErr w:type="spellEnd"/>
            <w:r w:rsidRPr="00393BE0">
              <w:rPr>
                <w:rFonts w:ascii="Times New Roman" w:hAnsi="Times New Roman" w:cs="Times New Roman"/>
                <w:i/>
              </w:rPr>
              <w:t>-UL-DL-</w:t>
            </w:r>
            <w:proofErr w:type="spellStart"/>
            <w:r w:rsidRPr="00393BE0">
              <w:rPr>
                <w:rFonts w:ascii="Times New Roman" w:hAnsi="Times New Roman" w:cs="Times New Roman"/>
                <w:i/>
              </w:rPr>
              <w:t>ConfigurationDedicated</w:t>
            </w:r>
            <w:proofErr w:type="spellEnd"/>
            <w:r w:rsidRPr="009F757E">
              <w:rPr>
                <w:rFonts w:ascii="Times New Roman" w:hAnsi="Times New Roman" w:cs="Times New Roman"/>
              </w:rPr>
              <w:t xml:space="preserve">, the </w:t>
            </w:r>
            <w:r w:rsidRPr="00393BE0">
              <w:rPr>
                <w:rFonts w:ascii="Times New Roman" w:hAnsi="Times New Roman" w:cs="Times New Roman"/>
              </w:rPr>
              <w:t xml:space="preserve">UE does not transmit PUSCH, PUCCH, PRACH, or SRS </w:t>
            </w:r>
            <w:r w:rsidRPr="00393BE0">
              <w:rPr>
                <w:rFonts w:ascii="Times New Roman" w:eastAsia="DengXian" w:hAnsi="Times New Roman" w:cs="Times New Roman"/>
              </w:rPr>
              <w:t>when the PUSCH</w:t>
            </w:r>
            <w:r w:rsidRPr="009F757E">
              <w:rPr>
                <w:rFonts w:ascii="Times New Roman" w:eastAsia="DengXian" w:hAnsi="Times New Roman" w:cs="Times New Roman"/>
              </w:rPr>
              <w:t>, PUCCH, PRACH, or SRS overlaps, even partially, with</w:t>
            </w:r>
            <w:r w:rsidRPr="009F757E">
              <w:rPr>
                <w:rFonts w:ascii="Times New Roman" w:hAnsi="Times New Roman" w:cs="Times New Roman"/>
              </w:rPr>
              <w:t xml:space="preserve"> the set of symbols of the slot.</w:t>
            </w:r>
          </w:p>
        </w:tc>
      </w:tr>
    </w:tbl>
    <w:bookmarkEnd w:id="39"/>
    <w:p w14:paraId="6EA8AB6E" w14:textId="0CA9528F" w:rsidR="001E5863" w:rsidRPr="001E5863" w:rsidRDefault="001E5863" w:rsidP="001C4B05">
      <w:pPr>
        <w:spacing w:before="240"/>
        <w:jc w:val="both"/>
        <w:rPr>
          <w:rFonts w:cs="Arial"/>
          <w:lang w:val="en-GB" w:eastAsia="ja-JP"/>
        </w:rPr>
      </w:pPr>
      <w:r w:rsidRPr="001E5863">
        <w:rPr>
          <w:rFonts w:cs="Arial"/>
          <w:lang w:val="en-GB" w:eastAsia="ja-JP"/>
        </w:rPr>
        <w:t xml:space="preserve">To support </w:t>
      </w:r>
      <w:r w:rsidRPr="001E5863">
        <w:rPr>
          <w:rFonts w:cs="Arial"/>
          <w:lang w:val="en-GB"/>
        </w:rPr>
        <w:t xml:space="preserve">UL transmissions on SBFD symbols configured as DL in </w:t>
      </w:r>
      <w:r w:rsidRPr="001E5863">
        <w:rPr>
          <w:rFonts w:cs="Arial"/>
          <w:i/>
          <w:iCs/>
          <w:lang w:val="en-GB"/>
        </w:rPr>
        <w:t>TDD-UL-DL-</w:t>
      </w:r>
      <w:proofErr w:type="spellStart"/>
      <w:r w:rsidRPr="001E5863">
        <w:rPr>
          <w:rFonts w:cs="Arial"/>
          <w:i/>
          <w:iCs/>
          <w:lang w:val="en-GB"/>
        </w:rPr>
        <w:t>ConfigCommon</w:t>
      </w:r>
      <w:proofErr w:type="spellEnd"/>
      <w:r w:rsidRPr="001E5863">
        <w:rPr>
          <w:rFonts w:cs="Arial"/>
          <w:i/>
          <w:iCs/>
          <w:lang w:val="en-GB"/>
        </w:rPr>
        <w:t xml:space="preserve">, </w:t>
      </w:r>
      <w:r w:rsidRPr="001E5863">
        <w:rPr>
          <w:rFonts w:cs="Arial"/>
          <w:lang w:val="en-GB"/>
        </w:rPr>
        <w:t xml:space="preserve">the above rule should be changed or </w:t>
      </w:r>
      <w:r w:rsidR="001A5B0C">
        <w:rPr>
          <w:rFonts w:cs="Arial"/>
          <w:lang w:val="en-GB"/>
        </w:rPr>
        <w:t xml:space="preserve">be </w:t>
      </w:r>
      <w:r w:rsidRPr="001E5863">
        <w:rPr>
          <w:rFonts w:cs="Arial"/>
          <w:lang w:val="en-GB"/>
        </w:rPr>
        <w:t>overwritten for SBFD</w:t>
      </w:r>
      <w:r w:rsidR="0074244B">
        <w:rPr>
          <w:rFonts w:cs="Arial"/>
          <w:lang w:val="en-GB"/>
        </w:rPr>
        <w:t xml:space="preserve"> capable</w:t>
      </w:r>
      <w:r w:rsidRPr="001E5863">
        <w:rPr>
          <w:rFonts w:cs="Arial"/>
          <w:lang w:val="en-GB"/>
        </w:rPr>
        <w:t xml:space="preserve"> UE</w:t>
      </w:r>
      <w:r w:rsidR="001A5B0C">
        <w:rPr>
          <w:rFonts w:cs="Arial"/>
          <w:lang w:val="en-GB"/>
        </w:rPr>
        <w:t>s</w:t>
      </w:r>
      <w:r w:rsidRPr="001E5863">
        <w:rPr>
          <w:rFonts w:cs="Arial"/>
          <w:lang w:val="en-GB"/>
        </w:rPr>
        <w:t xml:space="preserve">, i.e., </w:t>
      </w:r>
      <w:bookmarkStart w:id="41" w:name="_Hlk158619743"/>
      <w:r w:rsidRPr="001E5863">
        <w:rPr>
          <w:rFonts w:cs="Arial"/>
          <w:lang w:val="en-GB"/>
        </w:rPr>
        <w:t>SBFD</w:t>
      </w:r>
      <w:r w:rsidR="0074244B">
        <w:rPr>
          <w:rFonts w:cs="Arial"/>
          <w:lang w:val="en-GB"/>
        </w:rPr>
        <w:t xml:space="preserve"> capable</w:t>
      </w:r>
      <w:r w:rsidRPr="001E5863">
        <w:rPr>
          <w:rFonts w:cs="Arial"/>
          <w:lang w:val="en-GB"/>
        </w:rPr>
        <w:t xml:space="preserve"> UE</w:t>
      </w:r>
      <w:r w:rsidR="001A5B0C">
        <w:rPr>
          <w:rFonts w:cs="Arial"/>
          <w:lang w:val="en-GB"/>
        </w:rPr>
        <w:t>s</w:t>
      </w:r>
      <w:r w:rsidRPr="001E5863">
        <w:rPr>
          <w:rFonts w:cs="Arial"/>
          <w:lang w:val="en-GB"/>
        </w:rPr>
        <w:t xml:space="preserve"> could transmit UL in </w:t>
      </w:r>
      <w:r w:rsidRPr="001E5863">
        <w:rPr>
          <w:rFonts w:cs="Arial"/>
        </w:rPr>
        <w:t xml:space="preserve">a set of </w:t>
      </w:r>
      <w:r w:rsidR="003D20F2">
        <w:rPr>
          <w:rFonts w:cs="Arial"/>
        </w:rPr>
        <w:t xml:space="preserve">SBFD </w:t>
      </w:r>
      <w:r w:rsidRPr="001E5863">
        <w:rPr>
          <w:rFonts w:cs="Arial"/>
        </w:rPr>
        <w:t xml:space="preserve">symbols of a slot that are indicated to a UE as downlink by </w:t>
      </w:r>
      <w:proofErr w:type="spellStart"/>
      <w:r w:rsidRPr="001E5863">
        <w:rPr>
          <w:rFonts w:cs="Arial"/>
          <w:i/>
          <w:iCs/>
        </w:rPr>
        <w:t>tdd</w:t>
      </w:r>
      <w:proofErr w:type="spellEnd"/>
      <w:r w:rsidRPr="001E5863">
        <w:rPr>
          <w:rFonts w:cs="Arial"/>
          <w:i/>
          <w:iCs/>
        </w:rPr>
        <w:t>-UL-DL-</w:t>
      </w:r>
      <w:proofErr w:type="spellStart"/>
      <w:r w:rsidRPr="001E5863">
        <w:rPr>
          <w:rFonts w:cs="Arial"/>
          <w:i/>
          <w:iCs/>
        </w:rPr>
        <w:t>ConfigurationCommon</w:t>
      </w:r>
      <w:bookmarkEnd w:id="41"/>
      <w:proofErr w:type="spellEnd"/>
      <w:r>
        <w:rPr>
          <w:rFonts w:cs="Arial"/>
          <w:i/>
          <w:iCs/>
        </w:rPr>
        <w:t>.</w:t>
      </w:r>
    </w:p>
    <w:p w14:paraId="0B231277" w14:textId="48521DF4" w:rsidR="009E57A4" w:rsidRDefault="00393BE0" w:rsidP="009E57A4">
      <w:pPr>
        <w:pStyle w:val="Proposal"/>
        <w:rPr>
          <w:lang w:val="en-GB"/>
        </w:rPr>
      </w:pPr>
      <w:bookmarkStart w:id="42" w:name="_Toc159244014"/>
      <w:r w:rsidRPr="001E5863">
        <w:rPr>
          <w:rFonts w:cs="Arial"/>
          <w:lang w:val="en-GB"/>
        </w:rPr>
        <w:t>SBFD</w:t>
      </w:r>
      <w:r w:rsidR="0074244B">
        <w:rPr>
          <w:rFonts w:cs="Arial"/>
          <w:lang w:val="en-GB"/>
        </w:rPr>
        <w:t xml:space="preserve"> capable</w:t>
      </w:r>
      <w:r w:rsidRPr="001E5863">
        <w:rPr>
          <w:rFonts w:cs="Arial"/>
          <w:lang w:val="en-GB"/>
        </w:rPr>
        <w:t xml:space="preserve"> UE</w:t>
      </w:r>
      <w:r>
        <w:rPr>
          <w:rFonts w:cs="Arial"/>
          <w:lang w:val="en-GB"/>
        </w:rPr>
        <w:t>s</w:t>
      </w:r>
      <w:r w:rsidRPr="001E5863">
        <w:rPr>
          <w:rFonts w:cs="Arial"/>
          <w:lang w:val="en-GB"/>
        </w:rPr>
        <w:t xml:space="preserve"> </w:t>
      </w:r>
      <w:r w:rsidR="0074244B">
        <w:rPr>
          <w:rFonts w:cs="Arial"/>
          <w:lang w:val="en-GB"/>
        </w:rPr>
        <w:t>may</w:t>
      </w:r>
      <w:r w:rsidRPr="001E5863">
        <w:rPr>
          <w:rFonts w:cs="Arial"/>
          <w:lang w:val="en-GB"/>
        </w:rPr>
        <w:t xml:space="preserve"> transmit in</w:t>
      </w:r>
      <w:r w:rsidR="0074244B">
        <w:rPr>
          <w:rFonts w:cs="Arial"/>
          <w:lang w:val="en-GB"/>
        </w:rPr>
        <w:t xml:space="preserve"> the UL subband of </w:t>
      </w:r>
      <w:r w:rsidRPr="001E5863">
        <w:rPr>
          <w:rFonts w:cs="Arial"/>
        </w:rPr>
        <w:t xml:space="preserve">a set of </w:t>
      </w:r>
      <w:r>
        <w:rPr>
          <w:rFonts w:cs="Arial"/>
        </w:rPr>
        <w:t xml:space="preserve">SBFD </w:t>
      </w:r>
      <w:r w:rsidRPr="001E5863">
        <w:rPr>
          <w:rFonts w:cs="Arial"/>
        </w:rPr>
        <w:t xml:space="preserve">symbols of a slot that are indicated to a UE as downlink by </w:t>
      </w:r>
      <w:proofErr w:type="spellStart"/>
      <w:r w:rsidRPr="001E5863">
        <w:rPr>
          <w:rFonts w:cs="Arial"/>
          <w:i/>
          <w:iCs/>
        </w:rPr>
        <w:t>tdd</w:t>
      </w:r>
      <w:proofErr w:type="spellEnd"/>
      <w:r w:rsidRPr="001E5863">
        <w:rPr>
          <w:rFonts w:cs="Arial"/>
          <w:i/>
          <w:iCs/>
        </w:rPr>
        <w:t>-UL-DL-</w:t>
      </w:r>
      <w:proofErr w:type="spellStart"/>
      <w:r w:rsidRPr="001E5863">
        <w:rPr>
          <w:rFonts w:cs="Arial"/>
          <w:i/>
          <w:iCs/>
        </w:rPr>
        <w:t>ConfigurationCommon</w:t>
      </w:r>
      <w:proofErr w:type="spellEnd"/>
      <w:r w:rsidR="004F1B5B">
        <w:rPr>
          <w:lang w:val="en-GB"/>
        </w:rPr>
        <w:t>.</w:t>
      </w:r>
      <w:bookmarkEnd w:id="42"/>
    </w:p>
    <w:p w14:paraId="21C50C8B" w14:textId="77777777" w:rsidR="001C4B05" w:rsidRPr="001C4B05" w:rsidRDefault="001C4B05" w:rsidP="001C4B05">
      <w:pPr>
        <w:rPr>
          <w:lang w:val="en-GB" w:eastAsia="zh-CN"/>
        </w:rPr>
      </w:pPr>
    </w:p>
    <w:p w14:paraId="393BF194" w14:textId="53F5EB38" w:rsidR="00A54F6C" w:rsidRPr="00F700DF" w:rsidRDefault="00A54F6C" w:rsidP="00A54F6C">
      <w:pPr>
        <w:pStyle w:val="Heading3"/>
        <w:rPr>
          <w:lang w:val="en-US"/>
        </w:rPr>
      </w:pPr>
      <w:r>
        <w:rPr>
          <w:lang w:val="en-US"/>
        </w:rPr>
        <w:t>2.</w:t>
      </w:r>
      <w:r w:rsidR="005725BA">
        <w:rPr>
          <w:lang w:val="en-US"/>
        </w:rPr>
        <w:t>7</w:t>
      </w:r>
      <w:r>
        <w:rPr>
          <w:lang w:val="en-US"/>
        </w:rPr>
        <w:t>.</w:t>
      </w:r>
      <w:r w:rsidR="009D6FF0">
        <w:rPr>
          <w:lang w:val="en-US"/>
        </w:rPr>
        <w:t>2</w:t>
      </w:r>
      <w:r>
        <w:rPr>
          <w:lang w:val="en-US"/>
        </w:rPr>
        <w:tab/>
        <w:t>Prioritization between UL transmission and SSB reception</w:t>
      </w:r>
    </w:p>
    <w:p w14:paraId="4BAF8911" w14:textId="2D7582C7" w:rsidR="00A54F6C" w:rsidRDefault="00A54F6C" w:rsidP="00E27508">
      <w:pPr>
        <w:pStyle w:val="BodyText"/>
        <w:jc w:val="left"/>
      </w:pPr>
      <w:r>
        <w:t xml:space="preserve">In TR 38.858 the following paragraph states that configuring an UL subband in an SSB symbol is allowed. It also states that there a pros and cons </w:t>
      </w:r>
      <w:r w:rsidR="0074244B">
        <w:t>in doing so</w:t>
      </w:r>
      <w:r>
        <w:t>.</w:t>
      </w:r>
    </w:p>
    <w:tbl>
      <w:tblPr>
        <w:tblStyle w:val="TableGrid"/>
        <w:tblW w:w="0" w:type="auto"/>
        <w:tblLook w:val="04A0" w:firstRow="1" w:lastRow="0" w:firstColumn="1" w:lastColumn="0" w:noHBand="0" w:noVBand="1"/>
      </w:tblPr>
      <w:tblGrid>
        <w:gridCol w:w="9629"/>
      </w:tblGrid>
      <w:tr w:rsidR="00A54F6C" w14:paraId="755C6668" w14:textId="77777777" w:rsidTr="00A54F6C">
        <w:tc>
          <w:tcPr>
            <w:tcW w:w="0" w:type="auto"/>
          </w:tcPr>
          <w:p w14:paraId="282A3249" w14:textId="77777777" w:rsidR="00A54F6C" w:rsidRDefault="00A54F6C" w:rsidP="00A54F6C">
            <w:pPr>
              <w:spacing w:beforeLines="50" w:before="120" w:after="180" w:line="240" w:lineRule="auto"/>
              <w:rPr>
                <w:rFonts w:ascii="Times New Roman" w:eastAsia="DengXian" w:hAnsi="Times New Roman" w:cs="Times New Roman"/>
                <w:szCs w:val="20"/>
                <w:lang w:val="en-GB"/>
              </w:rPr>
            </w:pPr>
            <w:bookmarkStart w:id="43" w:name="_Hlk157004081"/>
            <w:r>
              <w:rPr>
                <w:rFonts w:ascii="Times New Roman" w:eastAsia="DengXian" w:hAnsi="Times New Roman" w:cs="Times New Roman"/>
                <w:szCs w:val="20"/>
                <w:lang w:val="en-GB"/>
              </w:rPr>
              <w:t>TR 38.858:</w:t>
            </w:r>
          </w:p>
          <w:p w14:paraId="75D7DD94" w14:textId="77777777" w:rsidR="00A54F6C" w:rsidRPr="00281F30" w:rsidRDefault="00A54F6C" w:rsidP="00A54F6C">
            <w:pPr>
              <w:spacing w:beforeLines="50" w:before="120" w:after="180" w:line="240" w:lineRule="auto"/>
              <w:rPr>
                <w:lang w:val="en-GB"/>
              </w:rPr>
            </w:pPr>
            <w:r w:rsidRPr="00006948">
              <w:rPr>
                <w:rFonts w:ascii="Times New Roman" w:eastAsia="DengXian" w:hAnsi="Times New Roman" w:cs="Times New Roman"/>
                <w:szCs w:val="20"/>
                <w:lang w:val="en-GB"/>
              </w:rPr>
              <w:t>Whether SBFD operation i</w:t>
            </w:r>
            <w:r w:rsidRPr="00006948">
              <w:rPr>
                <w:rFonts w:ascii="Times New Roman" w:eastAsia="DengXian" w:hAnsi="Times New Roman" w:cs="Times New Roman" w:hint="eastAsia"/>
                <w:szCs w:val="20"/>
                <w:lang w:val="en-GB"/>
              </w:rPr>
              <w:t>n</w:t>
            </w:r>
            <w:r w:rsidRPr="00006948">
              <w:rPr>
                <w:rFonts w:ascii="Times New Roman" w:eastAsia="DengXian" w:hAnsi="Times New Roman" w:cs="Times New Roman"/>
                <w:szCs w:val="20"/>
                <w:lang w:val="en-GB"/>
              </w:rPr>
              <w:t xml:space="preserve"> SSB symbols is supported or not is studied in RAN1.</w:t>
            </w:r>
            <w:r w:rsidRPr="00006948">
              <w:rPr>
                <w:rFonts w:ascii="Times New Roman" w:eastAsia="DengXian" w:hAnsi="Times New Roman" w:cs="Times New Roman" w:hint="eastAsia"/>
                <w:szCs w:val="20"/>
                <w:lang w:val="en-GB"/>
              </w:rPr>
              <w:t xml:space="preserve"> RAN1 studied whether UL subband can be configured in SSB symbol and agreed that an UL subband can be configured in an SSB symbol, where SSB is from serving cell perspective which can be CD-SSB or NCD-SSB. </w:t>
            </w:r>
            <w:r w:rsidRPr="00006948">
              <w:rPr>
                <w:rFonts w:ascii="Times New Roman" w:eastAsia="DengXian" w:hAnsi="Times New Roman" w:cs="Times New Roman"/>
                <w:szCs w:val="20"/>
                <w:lang w:val="en-GB"/>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w:t>
            </w:r>
            <w:r w:rsidRPr="00006948">
              <w:rPr>
                <w:rFonts w:ascii="Times New Roman" w:eastAsia="DengXian" w:hAnsi="Times New Roman" w:cs="Times New Roman"/>
                <w:szCs w:val="20"/>
                <w:lang w:val="en-GB"/>
              </w:rPr>
              <w:lastRenderedPageBreak/>
              <w:t>UE measurement or priority rule. There may be negative impact on SSB detection and measurement if the SBFD-aware UE is requested to transmit in the SSB symbol.</w:t>
            </w:r>
          </w:p>
        </w:tc>
      </w:tr>
    </w:tbl>
    <w:bookmarkEnd w:id="43"/>
    <w:p w14:paraId="27876393" w14:textId="1EBF93EF" w:rsidR="00A54F6C" w:rsidRDefault="00A54F6C" w:rsidP="0074244B">
      <w:pPr>
        <w:pStyle w:val="BodyText"/>
        <w:spacing w:before="240"/>
        <w:rPr>
          <w:lang w:eastAsia="ja-JP"/>
        </w:rPr>
      </w:pPr>
      <w:r>
        <w:rPr>
          <w:lang w:eastAsia="ja-JP"/>
        </w:rPr>
        <w:lastRenderedPageBreak/>
        <w:t>The remaining discussion is then whether and/or under which conditions an SBFD-aware UE transmits in the UL subband in the symbol or may receive SSB in the symbol. One such condition is related to RRM measurements that the UE performs.</w:t>
      </w:r>
    </w:p>
    <w:p w14:paraId="1003C55D" w14:textId="77777777" w:rsidR="00A54F6C" w:rsidRPr="000B5DCF" w:rsidRDefault="00A54F6C" w:rsidP="00A54F6C">
      <w:pPr>
        <w:pStyle w:val="BodyText"/>
      </w:pPr>
      <w:r>
        <w:rPr>
          <w:lang w:eastAsia="ja-JP"/>
        </w:rPr>
        <w:t xml:space="preserve">We observe that </w:t>
      </w:r>
      <w:r w:rsidRPr="00BE3E31">
        <w:rPr>
          <w:lang w:eastAsia="ja-JP"/>
        </w:rPr>
        <w:t>SS/PBCH blocks are no</w:t>
      </w:r>
      <w:r>
        <w:rPr>
          <w:lang w:eastAsia="ja-JP"/>
        </w:rPr>
        <w:t>t only used by the UE for various measurements on the serving cell, but also for RRM measurements on neighbor cells. Time domain resources for neighbor cell measurements are configured by so called SMTC windows. In addition, the UE can be configured with a bitmask (</w:t>
      </w:r>
      <w:proofErr w:type="spellStart"/>
      <w:r w:rsidRPr="004A7BC4">
        <w:rPr>
          <w:i/>
          <w:iCs/>
        </w:rPr>
        <w:t>ssb-ToMeasure</w:t>
      </w:r>
      <w:proofErr w:type="spellEnd"/>
      <w:r>
        <w:rPr>
          <w:lang w:eastAsia="ja-JP"/>
        </w:rPr>
        <w:t xml:space="preserve">) indicating which SS/PBCH blocks to measure. According to 38.133, scheduling restrictions apply during the time when intra-frequency RRM measurements on SSB occur. These scheduling restrictions imply that the UE is not expected to transmit UL during, and just before/after symbols used for RRM measurements. If </w:t>
      </w:r>
      <w:proofErr w:type="spellStart"/>
      <w:r w:rsidRPr="004A7BC4">
        <w:rPr>
          <w:i/>
          <w:iCs/>
        </w:rPr>
        <w:t>ssb-ToMeasure</w:t>
      </w:r>
      <w:proofErr w:type="spellEnd"/>
      <w:r>
        <w:t xml:space="preserve"> is not provided, the scheduling restrictions apply in the whole SMTC window (max 5ms).</w:t>
      </w:r>
    </w:p>
    <w:p w14:paraId="7BB734C8" w14:textId="77777777" w:rsidR="00A54F6C" w:rsidRDefault="00A54F6C" w:rsidP="00A54F6C">
      <w:pPr>
        <w:pStyle w:val="BodyText"/>
        <w:rPr>
          <w:lang w:eastAsia="ja-JP"/>
        </w:rPr>
      </w:pPr>
      <w:r>
        <w:rPr>
          <w:lang w:eastAsia="ja-JP"/>
        </w:rPr>
        <w:t>If for example the SS/PBCH blocks are transmitted every 20ms, the number of slots where UL would be prohibited constitutes a considerable amount of time. Taking the worst case above, 5/20 = 25% of the slots would be affected. In addition, the claimed UL latency reductions from SBFD might be significantly reduced if a can UE experience up to 5ms in “UL outage”. In our view these aspects need to be considered when deciding if UL transmission is allowed in SS/PBCH block symbols. Instead of simply allowing/disallowing UL in SS/PBCH block symbols, we think it is preferable to have more configurability when it comes to the UE prioritization between UL transmissions and SS/PBCH block reception to cater to different deployments.</w:t>
      </w:r>
    </w:p>
    <w:p w14:paraId="3E70DF1B" w14:textId="77777777" w:rsidR="00A54F6C" w:rsidRDefault="00A54F6C" w:rsidP="00A54F6C">
      <w:pPr>
        <w:pStyle w:val="BodyText"/>
        <w:rPr>
          <w:lang w:eastAsia="ja-JP"/>
        </w:rPr>
      </w:pPr>
      <w:r>
        <w:rPr>
          <w:lang w:eastAsia="ja-JP"/>
        </w:rPr>
        <w:t>Based on this we propose the following:</w:t>
      </w:r>
    </w:p>
    <w:p w14:paraId="0B2BF1CB" w14:textId="77777777" w:rsidR="00A54F6C" w:rsidRDefault="00A54F6C" w:rsidP="00A54F6C">
      <w:pPr>
        <w:pStyle w:val="Proposal"/>
      </w:pPr>
      <w:bookmarkStart w:id="44" w:name="_Toc159244015"/>
      <w:r>
        <w:t>If SBFD symbol overlaps an SS/PBCH block symbol, a UE shall/shall not transmit in the UL subband of this symbol depending on configuration. Example configurability is to (a) prioritize UL transmissions, or (b) prioritize SS/PBCH block reception.</w:t>
      </w:r>
      <w:bookmarkEnd w:id="44"/>
    </w:p>
    <w:p w14:paraId="5E79D899" w14:textId="77777777" w:rsidR="00776C1E" w:rsidRPr="00776C1E" w:rsidRDefault="00776C1E" w:rsidP="00776C1E"/>
    <w:p w14:paraId="6DD4F9D3" w14:textId="14FFD8A8" w:rsidR="00170EB2" w:rsidRPr="001A0563" w:rsidRDefault="00170EB2" w:rsidP="00170EB2">
      <w:pPr>
        <w:pStyle w:val="Heading2"/>
        <w:rPr>
          <w:lang w:val="en-US"/>
        </w:rPr>
      </w:pPr>
      <w:bookmarkStart w:id="45" w:name="_Ref158890154"/>
      <w:bookmarkStart w:id="46" w:name="_Ref159167726"/>
      <w:r>
        <w:t>2.</w:t>
      </w:r>
      <w:r w:rsidR="005725BA">
        <w:t>8</w:t>
      </w:r>
      <w:r>
        <w:tab/>
      </w:r>
      <w:r w:rsidR="00783BE1">
        <w:t>T</w:t>
      </w:r>
      <w:r w:rsidR="00783BE1" w:rsidRPr="00783BE1">
        <w:t xml:space="preserve">ransmissions across SBFD </w:t>
      </w:r>
      <w:r w:rsidR="00765D19">
        <w:t>s</w:t>
      </w:r>
      <w:r w:rsidR="00783BE1" w:rsidRPr="00783BE1">
        <w:t xml:space="preserve">ymbols and </w:t>
      </w:r>
      <w:r w:rsidR="00765D19">
        <w:t>n</w:t>
      </w:r>
      <w:r w:rsidR="00783BE1" w:rsidRPr="00783BE1">
        <w:t xml:space="preserve">on-SBFD </w:t>
      </w:r>
      <w:r w:rsidR="00765D19">
        <w:t>s</w:t>
      </w:r>
      <w:r w:rsidR="00783BE1" w:rsidRPr="00783BE1">
        <w:t xml:space="preserve">ymbols in </w:t>
      </w:r>
      <w:r w:rsidR="00765D19">
        <w:t>d</w:t>
      </w:r>
      <w:r w:rsidR="00783BE1" w:rsidRPr="00783BE1">
        <w:t xml:space="preserve">ifferent </w:t>
      </w:r>
      <w:r w:rsidR="00A610A0">
        <w:t>s</w:t>
      </w:r>
      <w:r w:rsidR="00783BE1" w:rsidRPr="00783BE1">
        <w:t>lots</w:t>
      </w:r>
      <w:bookmarkEnd w:id="45"/>
      <w:bookmarkEnd w:id="46"/>
    </w:p>
    <w:tbl>
      <w:tblPr>
        <w:tblStyle w:val="TableGrid"/>
        <w:tblW w:w="0" w:type="auto"/>
        <w:tblLook w:val="04A0" w:firstRow="1" w:lastRow="0" w:firstColumn="1" w:lastColumn="0" w:noHBand="0" w:noVBand="1"/>
      </w:tblPr>
      <w:tblGrid>
        <w:gridCol w:w="9629"/>
      </w:tblGrid>
      <w:tr w:rsidR="00432A74" w14:paraId="4437115B" w14:textId="77777777" w:rsidTr="00642C4C">
        <w:tc>
          <w:tcPr>
            <w:tcW w:w="0" w:type="auto"/>
          </w:tcPr>
          <w:p w14:paraId="28BE2A4C" w14:textId="77777777" w:rsidR="00170EB2" w:rsidRDefault="00170EB2" w:rsidP="00642C4C">
            <w:pPr>
              <w:spacing w:beforeLines="50" w:before="120" w:after="180" w:line="240" w:lineRule="auto"/>
              <w:rPr>
                <w:rFonts w:ascii="Times New Roman" w:eastAsia="DengXian" w:hAnsi="Times New Roman" w:cs="Times New Roman"/>
                <w:szCs w:val="20"/>
                <w:lang w:val="en-GB"/>
              </w:rPr>
            </w:pPr>
            <w:bookmarkStart w:id="47" w:name="_Hlk157007001"/>
            <w:r>
              <w:rPr>
                <w:rFonts w:ascii="Times New Roman" w:eastAsia="DengXian" w:hAnsi="Times New Roman" w:cs="Times New Roman"/>
                <w:szCs w:val="20"/>
                <w:lang w:val="en-GB"/>
              </w:rPr>
              <w:t>TR 38.858:</w:t>
            </w:r>
          </w:p>
          <w:p w14:paraId="2A900961" w14:textId="77777777" w:rsidR="00170EB2" w:rsidRPr="00170EB2" w:rsidRDefault="00170EB2" w:rsidP="00170EB2">
            <w:pPr>
              <w:spacing w:after="180" w:line="240" w:lineRule="auto"/>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 xml:space="preserve">For </w:t>
            </w:r>
            <w:bookmarkStart w:id="48" w:name="_Hlk158620613"/>
            <w:r w:rsidRPr="00170EB2">
              <w:rPr>
                <w:rFonts w:ascii="Times New Roman" w:eastAsia="DengXian" w:hAnsi="Times New Roman" w:cs="Times New Roman"/>
                <w:szCs w:val="20"/>
                <w:lang w:val="en-GB"/>
              </w:rPr>
              <w:t xml:space="preserve">UL transmissions and DL receptions across SBFD symbols and non-SBFD symbols in different slots </w:t>
            </w:r>
            <w:bookmarkEnd w:id="48"/>
            <w:r w:rsidRPr="00170EB2">
              <w:rPr>
                <w:rFonts w:ascii="Times New Roman" w:eastAsia="DengXian" w:hAnsi="Times New Roman" w:cs="Times New Roman"/>
                <w:szCs w:val="20"/>
                <w:lang w:val="en-GB"/>
              </w:rPr>
              <w:t>(each transmission/reception within a slot has either all SBFD or all non-SBFD symbols)</w:t>
            </w:r>
            <w:r w:rsidRPr="00170EB2">
              <w:rPr>
                <w:rFonts w:ascii="Times New Roman" w:eastAsia="DengXian" w:hAnsi="Times New Roman" w:cs="Times New Roman" w:hint="eastAsia"/>
                <w:szCs w:val="20"/>
                <w:lang w:val="en-GB"/>
              </w:rPr>
              <w:t xml:space="preserve">, the </w:t>
            </w:r>
            <w:r w:rsidRPr="00170EB2">
              <w:rPr>
                <w:rFonts w:ascii="Times New Roman" w:eastAsia="DengXian" w:hAnsi="Times New Roman" w:cs="Times New Roman"/>
                <w:szCs w:val="20"/>
                <w:lang w:val="en-GB"/>
              </w:rPr>
              <w:t xml:space="preserve">following options </w:t>
            </w:r>
            <w:r w:rsidRPr="00170EB2">
              <w:rPr>
                <w:rFonts w:ascii="Times New Roman" w:eastAsia="DengXian" w:hAnsi="Times New Roman" w:cs="Times New Roman" w:hint="eastAsia"/>
                <w:szCs w:val="20"/>
                <w:lang w:val="en-GB"/>
              </w:rPr>
              <w:t xml:space="preserve">are studied </w:t>
            </w:r>
            <w:r w:rsidRPr="00170EB2">
              <w:rPr>
                <w:rFonts w:ascii="Times New Roman" w:eastAsia="DengXian" w:hAnsi="Times New Roman" w:cs="Times New Roman"/>
                <w:szCs w:val="20"/>
                <w:lang w:val="en-GB"/>
              </w:rPr>
              <w:t>for SBFD-aware UEs:</w:t>
            </w:r>
          </w:p>
          <w:p w14:paraId="72C48648"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t>Option 1: The transmissions/receptions are restricted to SBFD symbols only or non-SBFD symbols only</w:t>
            </w:r>
          </w:p>
          <w:p w14:paraId="78607343"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t>Option 2: The transmissions/receptions can be in SBFD symbols and non-SBFD symbols</w:t>
            </w:r>
          </w:p>
          <w:p w14:paraId="2732BBF7" w14:textId="77777777" w:rsidR="00170EB2" w:rsidRPr="00170EB2" w:rsidRDefault="00170EB2" w:rsidP="00170EB2">
            <w:pPr>
              <w:spacing w:after="180" w:line="240" w:lineRule="auto"/>
              <w:rPr>
                <w:rFonts w:ascii="Times New Roman" w:eastAsia="DengXian" w:hAnsi="Times New Roman" w:cs="Times New Roman"/>
                <w:szCs w:val="20"/>
                <w:lang w:val="en-GB"/>
              </w:rPr>
            </w:pPr>
            <w:bookmarkStart w:id="49" w:name="_Hlk157498665"/>
            <w:r w:rsidRPr="00170EB2">
              <w:rPr>
                <w:rFonts w:ascii="Times New Roman" w:eastAsia="DengXian" w:hAnsi="Times New Roman" w:cs="Times New Roman"/>
                <w:szCs w:val="20"/>
                <w:lang w:val="en-GB"/>
              </w:rPr>
              <w:t>UL transmissions and DL receptions across SBFD symbols and non-SBFD symbols include the following:</w:t>
            </w:r>
          </w:p>
          <w:p w14:paraId="6061B87D" w14:textId="77777777" w:rsidR="00170EB2" w:rsidRPr="00FF6A6A" w:rsidRDefault="00170EB2" w:rsidP="00170EB2">
            <w:pPr>
              <w:spacing w:after="180" w:line="240" w:lineRule="auto"/>
              <w:ind w:left="568" w:hanging="284"/>
              <w:rPr>
                <w:rFonts w:ascii="Times New Roman" w:eastAsia="DengXian" w:hAnsi="Times New Roman" w:cs="Times New Roman"/>
                <w:szCs w:val="20"/>
                <w:lang w:val="sv-SE"/>
              </w:rPr>
            </w:pPr>
            <w:r w:rsidRPr="00FF6A6A">
              <w:rPr>
                <w:rFonts w:ascii="Times New Roman" w:eastAsia="DengXian" w:hAnsi="Times New Roman" w:cs="Times New Roman"/>
                <w:szCs w:val="20"/>
                <w:lang w:val="sv-SE"/>
              </w:rPr>
              <w:t>-</w:t>
            </w:r>
            <w:r w:rsidRPr="00FF6A6A">
              <w:rPr>
                <w:rFonts w:ascii="Times New Roman" w:eastAsia="DengXian" w:hAnsi="Times New Roman" w:cs="Times New Roman"/>
                <w:szCs w:val="20"/>
                <w:lang w:val="sv-SE"/>
              </w:rPr>
              <w:tab/>
              <w:t>PDSCH/PUSCH/PUCCH repetitions</w:t>
            </w:r>
          </w:p>
          <w:p w14:paraId="1FEF715F" w14:textId="77777777" w:rsidR="00170EB2" w:rsidRPr="00FF6A6A" w:rsidRDefault="00170EB2" w:rsidP="00170EB2">
            <w:pPr>
              <w:spacing w:after="180" w:line="240" w:lineRule="auto"/>
              <w:ind w:left="568" w:hanging="284"/>
              <w:rPr>
                <w:rFonts w:ascii="Times New Roman" w:eastAsia="DengXian" w:hAnsi="Times New Roman" w:cs="Times New Roman"/>
                <w:szCs w:val="20"/>
                <w:lang w:val="sv-SE"/>
              </w:rPr>
            </w:pPr>
            <w:r w:rsidRPr="00FF6A6A">
              <w:rPr>
                <w:rFonts w:ascii="Times New Roman" w:eastAsia="DengXian" w:hAnsi="Times New Roman" w:cs="Times New Roman"/>
                <w:szCs w:val="20"/>
                <w:lang w:val="sv-SE"/>
              </w:rPr>
              <w:t>-</w:t>
            </w:r>
            <w:r w:rsidRPr="00FF6A6A">
              <w:rPr>
                <w:rFonts w:ascii="Times New Roman" w:eastAsia="DengXian" w:hAnsi="Times New Roman" w:cs="Times New Roman"/>
                <w:szCs w:val="20"/>
                <w:lang w:val="sv-SE"/>
              </w:rPr>
              <w:tab/>
              <w:t>SPS PDSCH/CG PUSCH</w:t>
            </w:r>
          </w:p>
          <w:p w14:paraId="3FDD1ACF"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r>
            <w:proofErr w:type="spellStart"/>
            <w:r w:rsidRPr="00170EB2">
              <w:rPr>
                <w:rFonts w:ascii="Times New Roman" w:eastAsia="DengXian" w:hAnsi="Times New Roman" w:cs="Times New Roman"/>
                <w:szCs w:val="20"/>
                <w:lang w:val="en-GB"/>
              </w:rPr>
              <w:t>TBoMS</w:t>
            </w:r>
            <w:proofErr w:type="spellEnd"/>
          </w:p>
          <w:p w14:paraId="205A541D"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t>Multi-PUSCH/PDSCH scheduled by a single DCI</w:t>
            </w:r>
          </w:p>
          <w:p w14:paraId="44599901"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t>Periodic/semi-persistent SRS/CSI-RS/PUCCH</w:t>
            </w:r>
          </w:p>
          <w:p w14:paraId="3C4F853E" w14:textId="77777777" w:rsidR="00170EB2" w:rsidRPr="00170EB2" w:rsidRDefault="00170EB2" w:rsidP="00170EB2">
            <w:pPr>
              <w:spacing w:after="180" w:line="240" w:lineRule="auto"/>
              <w:ind w:left="568" w:hanging="284"/>
              <w:rPr>
                <w:rFonts w:ascii="Times New Roman" w:eastAsia="DengXian" w:hAnsi="Times New Roman" w:cs="Times New Roman"/>
                <w:szCs w:val="20"/>
                <w:lang w:val="en-GB"/>
              </w:rPr>
            </w:pPr>
            <w:r w:rsidRPr="00170EB2">
              <w:rPr>
                <w:rFonts w:ascii="Times New Roman" w:eastAsia="DengXian" w:hAnsi="Times New Roman" w:cs="Times New Roman"/>
                <w:szCs w:val="20"/>
                <w:lang w:val="en-GB"/>
              </w:rPr>
              <w:t>-</w:t>
            </w:r>
            <w:r w:rsidRPr="00170EB2">
              <w:rPr>
                <w:rFonts w:ascii="Times New Roman" w:eastAsia="DengXian" w:hAnsi="Times New Roman" w:cs="Times New Roman"/>
                <w:szCs w:val="20"/>
                <w:lang w:val="en-GB"/>
              </w:rPr>
              <w:tab/>
              <w:t>PDCCH</w:t>
            </w:r>
          </w:p>
          <w:bookmarkEnd w:id="49"/>
          <w:p w14:paraId="2188AC07" w14:textId="77777777" w:rsidR="00170EB2" w:rsidRPr="00D56FBE" w:rsidRDefault="00170EB2" w:rsidP="00170EB2">
            <w:pPr>
              <w:spacing w:beforeLines="50" w:before="120" w:after="180" w:line="240" w:lineRule="auto"/>
              <w:rPr>
                <w:rFonts w:ascii="Times New Roman" w:eastAsia="DengXian" w:hAnsi="Times New Roman" w:cs="Times New Roman"/>
                <w:lang w:val="en-GB"/>
              </w:rPr>
            </w:pPr>
            <w:r w:rsidRPr="00D56FBE">
              <w:rPr>
                <w:rFonts w:ascii="Times New Roman" w:eastAsia="DengXian" w:hAnsi="Times New Roman" w:cs="Times New Roman"/>
                <w:lang w:val="en-GB"/>
              </w:rPr>
              <w:lastRenderedPageBreak/>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D56FBE">
              <w:rPr>
                <w:rFonts w:ascii="Times New Roman" w:eastAsia="DengXian" w:hAnsi="Times New Roman" w:cs="Times New Roman" w:hint="eastAsia"/>
                <w:lang w:val="en-GB"/>
              </w:rPr>
              <w:t xml:space="preserve"> </w:t>
            </w:r>
            <w:r w:rsidRPr="00D56FBE">
              <w:rPr>
                <w:rFonts w:ascii="Times New Roman" w:eastAsia="DengXian" w:hAnsi="Times New Roman" w:cs="Times New Roman"/>
                <w:lang w:val="en-GB"/>
              </w:rPr>
              <w:t>The frequency resources, power control and beam/spatial relation for all the transmission/reception occasions can be the same for Option 1 but may be different for Option 2</w:t>
            </w:r>
            <w:r w:rsidRPr="00D56FBE">
              <w:rPr>
                <w:rFonts w:ascii="Times New Roman" w:eastAsia="DengXian" w:hAnsi="Times New Roman" w:cs="Times New Roman" w:hint="eastAsia"/>
                <w:lang w:val="en-GB"/>
              </w:rPr>
              <w:t>. If different</w:t>
            </w:r>
            <w:r w:rsidRPr="00D56FBE">
              <w:rPr>
                <w:rFonts w:ascii="Times New Roman" w:eastAsia="DengXian" w:hAnsi="Times New Roman" w:cs="Times New Roman"/>
                <w:lang w:val="en-GB"/>
              </w:rPr>
              <w:t xml:space="preserve">, </w:t>
            </w:r>
            <w:r w:rsidRPr="00D56FBE">
              <w:rPr>
                <w:rFonts w:ascii="Times New Roman" w:eastAsia="DengXian" w:hAnsi="Times New Roman" w:cs="Times New Roman" w:hint="eastAsia"/>
                <w:lang w:val="en-GB"/>
              </w:rPr>
              <w:t>it may</w:t>
            </w:r>
            <w:r w:rsidRPr="00D56FBE">
              <w:rPr>
                <w:rFonts w:ascii="Times New Roman" w:eastAsia="DengXian" w:hAnsi="Times New Roman" w:cs="Times New Roman"/>
                <w:lang w:val="en-GB"/>
              </w:rPr>
              <w:t xml:space="preserve"> require additional specification efforts.</w:t>
            </w:r>
            <w:r w:rsidRPr="00D56FBE">
              <w:rPr>
                <w:rFonts w:ascii="Times New Roman" w:eastAsia="DengXian" w:hAnsi="Times New Roman" w:cs="Times New Roman" w:hint="eastAsia"/>
                <w:lang w:val="en-GB"/>
              </w:rPr>
              <w:t xml:space="preserve"> </w:t>
            </w:r>
            <w:r w:rsidRPr="00D56FBE">
              <w:rPr>
                <w:rFonts w:ascii="Times New Roman" w:eastAsia="DengXian" w:hAnsi="Times New Roman" w:cs="Times New Roman"/>
                <w:lang w:val="en-GB"/>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5846A53F" w14:textId="77777777" w:rsidR="005342B6" w:rsidRPr="005342B6" w:rsidRDefault="005342B6" w:rsidP="005342B6">
            <w:pPr>
              <w:spacing w:after="180" w:line="240" w:lineRule="auto"/>
              <w:rPr>
                <w:rFonts w:ascii="Times New Roman" w:eastAsia="DengXian" w:hAnsi="Times New Roman" w:cs="Times New Roman"/>
                <w:szCs w:val="20"/>
                <w:lang w:val="en-GB"/>
              </w:rPr>
            </w:pPr>
            <w:r w:rsidRPr="005342B6">
              <w:rPr>
                <w:rFonts w:ascii="Times New Roman" w:eastAsia="DengXian" w:hAnsi="Times New Roman" w:cs="Times New Roman"/>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5342B6">
              <w:rPr>
                <w:rFonts w:ascii="Times New Roman" w:eastAsia="DengXian" w:hAnsi="Times New Roman" w:cs="Times New Roman" w:hint="eastAsia"/>
                <w:szCs w:val="20"/>
                <w:lang w:val="en-GB"/>
              </w:rPr>
              <w:t xml:space="preserve"> are studied.</w:t>
            </w:r>
          </w:p>
          <w:p w14:paraId="293E53DB" w14:textId="77777777" w:rsidR="005342B6" w:rsidRPr="005342B6" w:rsidRDefault="005342B6" w:rsidP="005342B6">
            <w:pPr>
              <w:spacing w:after="180" w:line="240" w:lineRule="auto"/>
              <w:ind w:left="568" w:hanging="284"/>
              <w:rPr>
                <w:rFonts w:ascii="Times New Roman" w:eastAsia="DengXian" w:hAnsi="Times New Roman" w:cs="Times New Roman"/>
                <w:szCs w:val="20"/>
                <w:lang w:val="en-GB"/>
              </w:rPr>
            </w:pPr>
            <w:bookmarkStart w:id="50" w:name="MCCQCTEMPBM_00000195"/>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 xml:space="preserve">Option 1: Separate FDRA determination for SBFD slots and non-SBFD slots. </w:t>
            </w:r>
          </w:p>
          <w:p w14:paraId="5723B699" w14:textId="77777777" w:rsidR="005342B6" w:rsidRPr="005342B6" w:rsidRDefault="005342B6" w:rsidP="005342B6">
            <w:pPr>
              <w:spacing w:after="180" w:line="240" w:lineRule="auto"/>
              <w:ind w:left="851" w:hanging="284"/>
              <w:rPr>
                <w:rFonts w:ascii="Times New Roman" w:eastAsia="DengXian" w:hAnsi="Times New Roman" w:cs="Times New Roman"/>
                <w:szCs w:val="20"/>
                <w:lang w:val="en-GB"/>
              </w:rPr>
            </w:pPr>
            <w:bookmarkStart w:id="51" w:name="MCCQCTEMPBM_00000196"/>
            <w:bookmarkEnd w:id="50"/>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Option 1-1: Separate FDRA configurations/indications for SBFD slots and non-SBFD slots</w:t>
            </w:r>
          </w:p>
          <w:p w14:paraId="1020F4B6" w14:textId="77777777" w:rsidR="005342B6" w:rsidRPr="005342B6" w:rsidRDefault="005342B6" w:rsidP="005342B6">
            <w:pPr>
              <w:spacing w:after="180" w:line="240" w:lineRule="auto"/>
              <w:ind w:left="851" w:hanging="284"/>
              <w:rPr>
                <w:rFonts w:ascii="Times New Roman" w:eastAsia="DengXian" w:hAnsi="Times New Roman" w:cs="Times New Roman"/>
                <w:szCs w:val="20"/>
                <w:lang w:val="en-GB"/>
              </w:rPr>
            </w:pPr>
            <w:bookmarkStart w:id="52" w:name="MCCQCTEMPBM_00000197"/>
            <w:bookmarkEnd w:id="51"/>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 xml:space="preserve">Option 1-2: Separate frequency resources determined for SBFD slots and non-SBFD slots based on single FDRA configuration/indication </w:t>
            </w:r>
          </w:p>
          <w:p w14:paraId="5B589786" w14:textId="77777777" w:rsidR="005342B6" w:rsidRPr="005342B6" w:rsidRDefault="005342B6" w:rsidP="005342B6">
            <w:pPr>
              <w:spacing w:after="180" w:line="240" w:lineRule="auto"/>
              <w:ind w:left="851" w:hanging="284"/>
              <w:rPr>
                <w:rFonts w:ascii="Times New Roman" w:eastAsia="DengXian" w:hAnsi="Times New Roman" w:cs="Times New Roman"/>
                <w:szCs w:val="20"/>
                <w:lang w:val="en-GB"/>
              </w:rPr>
            </w:pPr>
            <w:bookmarkStart w:id="53" w:name="MCCQCTEMPBM_00000198"/>
            <w:bookmarkEnd w:id="52"/>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Option 1-3: single FDRA configuration/indication and RB offset(s)</w:t>
            </w:r>
          </w:p>
          <w:p w14:paraId="70B9CC5D" w14:textId="77777777" w:rsidR="005342B6" w:rsidRPr="005342B6" w:rsidRDefault="005342B6" w:rsidP="005342B6">
            <w:pPr>
              <w:spacing w:after="180" w:line="240" w:lineRule="auto"/>
              <w:ind w:left="568" w:hanging="284"/>
              <w:rPr>
                <w:rFonts w:ascii="Times New Roman" w:eastAsia="DengXian" w:hAnsi="Times New Roman" w:cs="Times New Roman"/>
                <w:szCs w:val="20"/>
                <w:lang w:val="en-GB"/>
              </w:rPr>
            </w:pPr>
            <w:bookmarkStart w:id="54" w:name="MCCQCTEMPBM_00000199"/>
            <w:bookmarkEnd w:id="53"/>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 xml:space="preserve">Option 2: Perform rate matching or puncturing on the RBs outside DL/UL subbands for DL/UL channels/signals. </w:t>
            </w:r>
          </w:p>
          <w:p w14:paraId="22E20013" w14:textId="77777777" w:rsidR="005342B6" w:rsidRPr="005342B6" w:rsidRDefault="005342B6" w:rsidP="005342B6">
            <w:pPr>
              <w:spacing w:after="180" w:line="240" w:lineRule="auto"/>
              <w:ind w:left="568" w:hanging="284"/>
              <w:rPr>
                <w:rFonts w:ascii="Times New Roman" w:eastAsia="DengXian" w:hAnsi="Times New Roman" w:cs="Times New Roman"/>
                <w:szCs w:val="20"/>
                <w:lang w:val="en-GB"/>
              </w:rPr>
            </w:pPr>
            <w:bookmarkStart w:id="55" w:name="MCCQCTEMPBM_00000200"/>
            <w:bookmarkEnd w:id="54"/>
            <w:r w:rsidRPr="005342B6">
              <w:rPr>
                <w:rFonts w:ascii="Times New Roman" w:eastAsia="DengXian" w:hAnsi="Times New Roman" w:cs="Times New Roman"/>
                <w:szCs w:val="20"/>
                <w:lang w:val="en-GB"/>
              </w:rPr>
              <w:t>-</w:t>
            </w:r>
            <w:r w:rsidRPr="005342B6">
              <w:rPr>
                <w:rFonts w:ascii="Times New Roman" w:eastAsia="DengXian" w:hAnsi="Times New Roman" w:cs="Times New Roman"/>
                <w:szCs w:val="20"/>
                <w:lang w:val="en-GB"/>
              </w:rPr>
              <w:tab/>
              <w:t>Option 3: A DL/UL channel/signal overlapping with RBs outside DL/UL subbands in a SBFD slot is dropped or postponed.</w:t>
            </w:r>
          </w:p>
          <w:bookmarkEnd w:id="55"/>
          <w:p w14:paraId="22697EED" w14:textId="5329AF25" w:rsidR="005342B6" w:rsidRPr="00281F30" w:rsidRDefault="005342B6" w:rsidP="005342B6">
            <w:pPr>
              <w:spacing w:beforeLines="50" w:before="120" w:after="180" w:line="240" w:lineRule="auto"/>
              <w:rPr>
                <w:lang w:val="en-GB"/>
              </w:rPr>
            </w:pPr>
            <w:r w:rsidRPr="00D56FBE">
              <w:rPr>
                <w:rFonts w:ascii="Times New Roman" w:eastAsia="DengXian" w:hAnsi="Times New Roman" w:cs="Times New Roman"/>
                <w:lang w:val="en-GB"/>
              </w:rPr>
              <w:t>Note: Different options can be studied for different signals/channels</w:t>
            </w:r>
          </w:p>
        </w:tc>
      </w:tr>
    </w:tbl>
    <w:bookmarkEnd w:id="47"/>
    <w:p w14:paraId="419C486D" w14:textId="6F5AA61D" w:rsidR="001F02D7" w:rsidRDefault="0037044D" w:rsidP="00E27508">
      <w:pPr>
        <w:pStyle w:val="BodyText"/>
        <w:spacing w:before="240"/>
      </w:pPr>
      <w:r>
        <w:lastRenderedPageBreak/>
        <w:t xml:space="preserve">In SBFD operation it is anticipated that some TDD slots </w:t>
      </w:r>
      <w:r w:rsidR="002C6379">
        <w:t>are</w:t>
      </w:r>
      <w:r>
        <w:t xml:space="preserve"> configured semi-statically </w:t>
      </w:r>
      <w:r w:rsidR="002C6379">
        <w:t>as</w:t>
      </w:r>
      <w:r>
        <w:t xml:space="preserve"> SBFD slots,</w:t>
      </w:r>
      <w:r w:rsidR="002C6379">
        <w:t xml:space="preserve"> in which</w:t>
      </w:r>
      <w:r>
        <w:t xml:space="preserve"> the carrier is partitioned into multiple DL and UL subbands, while some other slots remain as DL or UL slots </w:t>
      </w:r>
      <w:r w:rsidR="002C6379">
        <w:t xml:space="preserve">as </w:t>
      </w:r>
      <w:r>
        <w:t>in legacy TDD operation. The problem arises that</w:t>
      </w:r>
      <w:r w:rsidR="00D25572">
        <w:t>,</w:t>
      </w:r>
      <w:r>
        <w:t xml:space="preserve"> </w:t>
      </w:r>
      <w:r w:rsidR="00D25572">
        <w:t xml:space="preserve">for UL </w:t>
      </w:r>
      <w:r w:rsidR="002C6379">
        <w:t xml:space="preserve">or DL </w:t>
      </w:r>
      <w:r w:rsidR="00D25572">
        <w:t xml:space="preserve">transmissions that involve multiple slots, whether it is allowed to </w:t>
      </w:r>
      <w:r w:rsidR="002C6379">
        <w:t>map the transmission</w:t>
      </w:r>
      <w:r w:rsidR="00434E18">
        <w:t>s</w:t>
      </w:r>
      <w:r w:rsidR="002C6379">
        <w:t xml:space="preserve"> across SBFD symbols and non-SBFD symbols in different slots. </w:t>
      </w:r>
      <w:r w:rsidR="00374CCA" w:rsidRPr="00374CCA">
        <w:t xml:space="preserve">In the Rel-18 study on SBFD </w:t>
      </w:r>
      <w:r w:rsidR="002C6379">
        <w:t xml:space="preserve">the problem was </w:t>
      </w:r>
      <w:r w:rsidR="00434E18">
        <w:t>delved</w:t>
      </w:r>
      <w:r w:rsidR="002C6379">
        <w:t>, and two alternative solutions were summarized in the technical report (</w:t>
      </w:r>
      <w:r w:rsidR="00AA323D">
        <w:t xml:space="preserve">in the </w:t>
      </w:r>
      <w:r w:rsidR="002C6379">
        <w:t>cit</w:t>
      </w:r>
      <w:r w:rsidR="00AA323D">
        <w:t>ation</w:t>
      </w:r>
      <w:r w:rsidR="002C6379">
        <w:t xml:space="preserve"> text above). </w:t>
      </w:r>
      <w:r w:rsidR="009D28AB">
        <w:t xml:space="preserve">Option 1 restricts multi-slot transmissions to either on SBFD slot </w:t>
      </w:r>
      <w:r w:rsidR="00DC7F0F">
        <w:t xml:space="preserve">only </w:t>
      </w:r>
      <w:r w:rsidR="009D28AB">
        <w:t>or on non-SBFD slot</w:t>
      </w:r>
      <w:r w:rsidR="00DC7F0F">
        <w:t xml:space="preserve"> only</w:t>
      </w:r>
      <w:r w:rsidR="009D28AB">
        <w:t xml:space="preserve">, while Option 2 allows multi-slot transmissions to be on both SBFD and non-SBFD slots. </w:t>
      </w:r>
      <w:r w:rsidR="002C6379">
        <w:t xml:space="preserve">In this section we </w:t>
      </w:r>
      <w:r w:rsidR="006F1ACF">
        <w:t xml:space="preserve">will </w:t>
      </w:r>
      <w:r w:rsidR="002C6379">
        <w:t xml:space="preserve">present further discussion on </w:t>
      </w:r>
      <w:r w:rsidR="00551FD2">
        <w:t>th</w:t>
      </w:r>
      <w:r w:rsidR="004600BE">
        <w:t>e</w:t>
      </w:r>
      <w:r w:rsidR="00551FD2">
        <w:t>s</w:t>
      </w:r>
      <w:r w:rsidR="004600BE">
        <w:t>e</w:t>
      </w:r>
      <w:r w:rsidR="00551FD2">
        <w:t xml:space="preserve"> </w:t>
      </w:r>
      <w:r w:rsidR="004600BE">
        <w:t>options</w:t>
      </w:r>
      <w:r w:rsidR="00551FD2">
        <w:t xml:space="preserve"> for different multi-slot transmissions</w:t>
      </w:r>
      <w:r w:rsidR="002C6379">
        <w:t>.</w:t>
      </w:r>
      <w:r w:rsidR="006F1ACF">
        <w:t xml:space="preserve"> </w:t>
      </w:r>
      <w:r w:rsidR="00EF6BD0">
        <w:t>In the following discussion in this section, for a multi-slot transmission, the channel allocation within a slot is restricted to either SBFD or non-SBFD symbols, while the issues for channel allocation involving both SBFD and non-SBFD symbols within a slot will be addressed in the next section.</w:t>
      </w:r>
    </w:p>
    <w:p w14:paraId="02405FCF" w14:textId="658E33DC" w:rsidR="00C320DD" w:rsidRDefault="00EF6BD0" w:rsidP="004C61EC">
      <w:pPr>
        <w:pStyle w:val="BodyText"/>
      </w:pPr>
      <w:r>
        <w:t>S</w:t>
      </w:r>
      <w:r w:rsidR="001F02D7">
        <w:t>pecifying enhancements for multi-slot transmission in SBFD operation needs to evaluate the trade-off between standardization and implementation complexities and the benefit they bring</w:t>
      </w:r>
      <w:r w:rsidR="00B02AED">
        <w:t xml:space="preserve"> in</w:t>
      </w:r>
      <w:r w:rsidR="001F02D7">
        <w:t>.</w:t>
      </w:r>
      <w:r>
        <w:t xml:space="preserve"> In our view, restricting multi-slot transmission to either SBFD or non-SBFD slots can be supported with least specification </w:t>
      </w:r>
      <w:r w:rsidR="00FA2039">
        <w:t>effort</w:t>
      </w:r>
      <w:r>
        <w:t>.</w:t>
      </w:r>
    </w:p>
    <w:p w14:paraId="1EE89739" w14:textId="64243E20" w:rsidR="00D40FF4" w:rsidRDefault="00C320DD" w:rsidP="004C61EC">
      <w:pPr>
        <w:pStyle w:val="BodyText"/>
      </w:pPr>
      <w:r>
        <w:t>I</w:t>
      </w:r>
      <w:r w:rsidR="00FA2039">
        <w:t xml:space="preserve">n the current specifications, </w:t>
      </w:r>
      <w:r w:rsidR="00EF6BD0">
        <w:t>PDSCH</w:t>
      </w:r>
      <w:r>
        <w:t xml:space="preserve"> (dynamic and SPS)</w:t>
      </w:r>
      <w:r w:rsidR="00EF6BD0">
        <w:t>, PUSCH</w:t>
      </w:r>
      <w:r>
        <w:t xml:space="preserve"> (dynamic, CG and </w:t>
      </w:r>
      <w:proofErr w:type="spellStart"/>
      <w:r>
        <w:t>TBoMS</w:t>
      </w:r>
      <w:proofErr w:type="spellEnd"/>
      <w:r>
        <w:t xml:space="preserve">) </w:t>
      </w:r>
      <w:r w:rsidR="00EF6BD0">
        <w:t>and PUCCH repetition</w:t>
      </w:r>
      <w:r w:rsidR="00FA2039">
        <w:t>s</w:t>
      </w:r>
      <w:r w:rsidR="00EF6BD0">
        <w:t xml:space="preserve"> across multiple slots </w:t>
      </w:r>
      <w:r w:rsidR="00FA2039">
        <w:t xml:space="preserve">are restricted to the same slot type (i.e., either DL or UL slots). In SBFD operation where </w:t>
      </w:r>
      <w:r w:rsidR="00561AE9">
        <w:t>DL/</w:t>
      </w:r>
      <w:r w:rsidR="00FA2039">
        <w:t xml:space="preserve">UL transmissions can also be done in </w:t>
      </w:r>
      <w:r w:rsidR="00561AE9">
        <w:t>DL/</w:t>
      </w:r>
      <w:r w:rsidR="00FA2039">
        <w:t xml:space="preserve">UL subbands in legacy DL or Flexible slots, the existing rules can be updated </w:t>
      </w:r>
      <w:r w:rsidR="004C61EC">
        <w:t xml:space="preserve">to further restrict </w:t>
      </w:r>
      <w:r w:rsidR="00FA2039">
        <w:t xml:space="preserve">PDSCH, PUSCH or PUCCH </w:t>
      </w:r>
      <w:r w:rsidR="0051188E">
        <w:t>multiple slot transmissions</w:t>
      </w:r>
      <w:r w:rsidR="004C61EC">
        <w:t xml:space="preserve"> to either SBFD or non-SBFD slots.</w:t>
      </w:r>
    </w:p>
    <w:p w14:paraId="671DBC87" w14:textId="3D12BF2F" w:rsidR="0051188E" w:rsidRDefault="004C61EC" w:rsidP="0051188E">
      <w:pPr>
        <w:pStyle w:val="BodyText"/>
        <w:numPr>
          <w:ilvl w:val="0"/>
          <w:numId w:val="44"/>
        </w:numPr>
      </w:pPr>
      <w:r>
        <w:t>Current NR TDD UEs support processing one unicast</w:t>
      </w:r>
      <w:r w:rsidR="006B39DB">
        <w:t xml:space="preserve"> DL </w:t>
      </w:r>
      <w:r>
        <w:t xml:space="preserve">scheduling </w:t>
      </w:r>
      <w:r w:rsidR="006B39DB">
        <w:t xml:space="preserve">DCI </w:t>
      </w:r>
      <w:r>
        <w:t xml:space="preserve">and two unicast </w:t>
      </w:r>
      <w:r w:rsidR="006B39DB">
        <w:t xml:space="preserve">UL scheduling </w:t>
      </w:r>
      <w:r>
        <w:t>DCI</w:t>
      </w:r>
      <w:r w:rsidR="006B39DB">
        <w:t xml:space="preserve">s </w:t>
      </w:r>
      <w:r>
        <w:t>per slot per schedul</w:t>
      </w:r>
      <w:r w:rsidR="0045382A">
        <w:t>ing</w:t>
      </w:r>
      <w:r>
        <w:t xml:space="preserve"> CC. It’s possible to use one UL scheduling DCI for PUSCH repetitions over SBFD slots and the other for PUSCH repetitions over non-SBFD slots. For DL, </w:t>
      </w:r>
      <w:r w:rsidR="00D40FF4">
        <w:t xml:space="preserve">SBFD-capable UE can be specified to </w:t>
      </w:r>
      <w:r w:rsidR="006B39DB">
        <w:t>support</w:t>
      </w:r>
      <w:r>
        <w:t xml:space="preserve"> two </w:t>
      </w:r>
      <w:r w:rsidR="006B39DB">
        <w:t xml:space="preserve">unicast </w:t>
      </w:r>
      <w:r>
        <w:t xml:space="preserve">DL </w:t>
      </w:r>
      <w:r w:rsidR="006B39DB">
        <w:t xml:space="preserve">scheduling </w:t>
      </w:r>
      <w:r>
        <w:t>DCIs</w:t>
      </w:r>
      <w:r w:rsidR="006B39DB">
        <w:t xml:space="preserve"> per slot.</w:t>
      </w:r>
      <w:r w:rsidR="0051188E">
        <w:t xml:space="preserve"> It is anticipated that </w:t>
      </w:r>
      <w:r w:rsidR="0051188E">
        <w:lastRenderedPageBreak/>
        <w:t>transmission occasions for two active DL or UL multi-slot transmissions can interleaved in time, which does not happen with the current specs.</w:t>
      </w:r>
    </w:p>
    <w:p w14:paraId="5FE4EAFF" w14:textId="20520703" w:rsidR="002650EE" w:rsidRDefault="002117C3" w:rsidP="00D40FF4">
      <w:pPr>
        <w:pStyle w:val="BodyText"/>
        <w:numPr>
          <w:ilvl w:val="0"/>
          <w:numId w:val="44"/>
        </w:numPr>
      </w:pPr>
      <w:r>
        <w:t>Th</w:t>
      </w:r>
      <w:r w:rsidR="002650EE">
        <w:t xml:space="preserve">e same time domain and frequency domain resource assignment </w:t>
      </w:r>
      <w:r w:rsidR="005A08E9">
        <w:t>can be used across the slots</w:t>
      </w:r>
      <w:r>
        <w:t xml:space="preserve"> with the same type (i.e., SBFD or non-SBFD</w:t>
      </w:r>
      <w:r w:rsidR="00A50905">
        <w:t xml:space="preserve"> slots</w:t>
      </w:r>
      <w:r>
        <w:t>)</w:t>
      </w:r>
      <w:r w:rsidR="005A08E9">
        <w:t>.</w:t>
      </w:r>
    </w:p>
    <w:p w14:paraId="6FAB284A" w14:textId="071AE674" w:rsidR="001F02D7" w:rsidRDefault="004C61EC" w:rsidP="00D40FF4">
      <w:pPr>
        <w:pStyle w:val="BodyText"/>
        <w:numPr>
          <w:ilvl w:val="0"/>
          <w:numId w:val="44"/>
        </w:numPr>
      </w:pPr>
      <w:r>
        <w:t>In case it becomes too few transmission opportunities for a multi-slot transmission due to the restrictions to the same slot type,</w:t>
      </w:r>
      <w:r w:rsidR="00D40FF4">
        <w:t xml:space="preserve"> the maximum repetition number </w:t>
      </w:r>
      <w:r w:rsidR="000F2BEB">
        <w:t xml:space="preserve">can be increased </w:t>
      </w:r>
      <w:r w:rsidR="00D40FF4">
        <w:t>and/or</w:t>
      </w:r>
      <w:r>
        <w:t xml:space="preserve"> the mechanism of available slot counting for PUSCH Repetition Type A introduced in Rel-17 can be used.</w:t>
      </w:r>
    </w:p>
    <w:p w14:paraId="14DEEE93" w14:textId="3BEDEABB" w:rsidR="004C61EC" w:rsidRDefault="00C320DD" w:rsidP="00D25572">
      <w:pPr>
        <w:pStyle w:val="BodyText"/>
      </w:pPr>
      <w:r w:rsidRPr="00C320DD">
        <w:t>Multi-PDSCH and multi-PUSCH scheduling in Rel-17 supports indicating scheduling delay (K0/K2) for every PDSCH/PUSCH scheduled by a single DCI. By selecting proper K0/K2 values it is already possible to restrict scheduling multiple PDSCH/PUSCH transmissions only in SBFD or non-SBFD slots.</w:t>
      </w:r>
    </w:p>
    <w:p w14:paraId="5CFCC15C" w14:textId="58756836" w:rsidR="00DC589B" w:rsidRDefault="00DC589B" w:rsidP="00D25572">
      <w:pPr>
        <w:pStyle w:val="Observation"/>
      </w:pPr>
      <w:bookmarkStart w:id="56" w:name="_Toc159243991"/>
      <w:r>
        <w:t>For multi-PDSCH/PUSCH scheduling, it is already possible with the current specifications to restrict multiple PDSCHs/PUSCHs scheduled by a single DCI to either SBFD or non-SBFD slots by selecting proper K0/K2 values.</w:t>
      </w:r>
      <w:bookmarkEnd w:id="56"/>
    </w:p>
    <w:p w14:paraId="6830AC8C" w14:textId="7D93300E" w:rsidR="008647D6" w:rsidRDefault="008647D6" w:rsidP="00D25572">
      <w:pPr>
        <w:pStyle w:val="BodyText"/>
      </w:pPr>
      <w:r>
        <w:t xml:space="preserve">For periodic transmission of CSI-RS, SRS and PUCCH, restricting transmissions to either SBFD or non-SBFD slots can be achieved by configuring the periodicity </w:t>
      </w:r>
      <w:r w:rsidR="003B390F">
        <w:t xml:space="preserve">in </w:t>
      </w:r>
      <w:r>
        <w:t>synchronous with the existing TDD patterns.</w:t>
      </w:r>
    </w:p>
    <w:p w14:paraId="081C0D4F" w14:textId="0DF3190B" w:rsidR="00BB5AB5" w:rsidRDefault="00BB5AB5" w:rsidP="00D25572">
      <w:pPr>
        <w:pStyle w:val="Observation"/>
      </w:pPr>
      <w:bookmarkStart w:id="57" w:name="_Toc159243992"/>
      <w:r>
        <w:t>For periodic transmission of CSI-RS, SRS and PUCCH, restricting transmissions to either SBFD or non-SBFD slots can be achieved by configuring the periodicity synchronous with the existing TDD patterns.</w:t>
      </w:r>
      <w:bookmarkEnd w:id="57"/>
    </w:p>
    <w:p w14:paraId="7D734BDB" w14:textId="5BCE05ED" w:rsidR="001F02D7" w:rsidRDefault="00C320DD" w:rsidP="00BC7758">
      <w:pPr>
        <w:pStyle w:val="Observation"/>
      </w:pPr>
      <w:bookmarkStart w:id="58" w:name="_Hlk158621721"/>
      <w:bookmarkStart w:id="59" w:name="_Toc159243993"/>
      <w:r w:rsidRPr="00C320DD">
        <w:t xml:space="preserve">Restricting multi-slot transmissions to either in SBFD slot or non-SBFD slot </w:t>
      </w:r>
      <w:r w:rsidR="00C507A2">
        <w:t xml:space="preserve">(i.e., Option 1 </w:t>
      </w:r>
      <w:r w:rsidRPr="00C320DD">
        <w:t>can be supported with least specification impact</w:t>
      </w:r>
      <w:bookmarkEnd w:id="58"/>
      <w:r w:rsidRPr="00C320DD">
        <w:t>.</w:t>
      </w:r>
      <w:bookmarkEnd w:id="59"/>
    </w:p>
    <w:p w14:paraId="31BE6C13" w14:textId="3E9CCBA6" w:rsidR="00C86059" w:rsidRDefault="002A3580" w:rsidP="005928F7">
      <w:pPr>
        <w:pStyle w:val="BodyText"/>
      </w:pPr>
      <w:r>
        <w:t xml:space="preserve">Restricting </w:t>
      </w:r>
      <w:r w:rsidRPr="00C320DD">
        <w:t>multi-slot transmissions to either in SBFD slot or non-SBFD slot</w:t>
      </w:r>
      <w:r>
        <w:t xml:space="preserve"> also simplifies link adaptation and power control (for PUSCH and PUCCH). The </w:t>
      </w:r>
      <w:r w:rsidR="00C86059">
        <w:t>channel condition</w:t>
      </w:r>
      <w:r>
        <w:t xml:space="preserve"> in SBFD and non-SBFD slots </w:t>
      </w:r>
      <w:r w:rsidR="00C86059">
        <w:t xml:space="preserve">can be </w:t>
      </w:r>
      <w:r>
        <w:t>expected to be significantly different</w:t>
      </w:r>
      <w:r w:rsidR="00C86059">
        <w:t xml:space="preserve"> mainly </w:t>
      </w:r>
      <w:r>
        <w:t xml:space="preserve">due to </w:t>
      </w:r>
      <w:r w:rsidR="00C86059">
        <w:t>different CLI situations and different antenna configurations</w:t>
      </w:r>
      <w:r>
        <w:t>.</w:t>
      </w:r>
      <w:r w:rsidR="00C86059">
        <w:t xml:space="preserve"> Link adaptation and power control might become much more difficult if repetitions of a TB (in case of repetition) or multiple PDSCHs/PUSCHs scheduled by a single DCI (in case of multi-PDSCH/PUSCH scheduling) are transmitted in different types of slots. Restricting multi-slot transmission to slots of the same </w:t>
      </w:r>
      <w:r w:rsidR="005F5676">
        <w:t>type</w:t>
      </w:r>
      <w:r w:rsidR="00C86059">
        <w:t xml:space="preserve"> can avoid this problem.</w:t>
      </w:r>
    </w:p>
    <w:p w14:paraId="5AB72DA9" w14:textId="103DFB44" w:rsidR="008647D6" w:rsidRDefault="00C86059" w:rsidP="008647D6">
      <w:pPr>
        <w:pStyle w:val="Observation"/>
      </w:pPr>
      <w:bookmarkStart w:id="60" w:name="_Toc159243994"/>
      <w:r w:rsidRPr="00C86059">
        <w:t xml:space="preserve">Restricting multi-slot transmissions to either in SBFD slot or non-SBFD slot </w:t>
      </w:r>
      <w:r>
        <w:t xml:space="preserve">can </w:t>
      </w:r>
      <w:r w:rsidRPr="00C86059">
        <w:t>simplif</w:t>
      </w:r>
      <w:r>
        <w:t>y</w:t>
      </w:r>
      <w:r w:rsidRPr="00C86059">
        <w:t xml:space="preserve"> link adaptation and power control (for PUSCH and PUCCH)</w:t>
      </w:r>
      <w:r>
        <w:t>.</w:t>
      </w:r>
      <w:bookmarkEnd w:id="60"/>
    </w:p>
    <w:p w14:paraId="55356F23" w14:textId="12465D94" w:rsidR="005320CD" w:rsidRDefault="00C507A2" w:rsidP="00EC2465">
      <w:pPr>
        <w:pStyle w:val="BodyText"/>
      </w:pPr>
      <w:r>
        <w:t xml:space="preserve">DL/UL resource available for physical channel or signal transmission in </w:t>
      </w:r>
      <w:r w:rsidR="00EC2465">
        <w:t xml:space="preserve">the </w:t>
      </w:r>
      <w:r>
        <w:t>DL/UL subband</w:t>
      </w:r>
      <w:r w:rsidR="00394E22">
        <w:t>s</w:t>
      </w:r>
      <w:r>
        <w:t xml:space="preserve"> in a SBFD slot </w:t>
      </w:r>
      <w:r w:rsidR="00EC2465">
        <w:t xml:space="preserve">is different </w:t>
      </w:r>
      <w:r>
        <w:t>compared to a legacy DL/UL slot</w:t>
      </w:r>
      <w:r w:rsidR="00EC2465">
        <w:t>. I</w:t>
      </w:r>
      <w:r>
        <w:t xml:space="preserve">f </w:t>
      </w:r>
      <w:r w:rsidR="00FF763D">
        <w:t xml:space="preserve">a multi-slot transmission </w:t>
      </w:r>
      <w:r w:rsidR="00FF763D" w:rsidRPr="00FF763D">
        <w:t>can be</w:t>
      </w:r>
      <w:r>
        <w:t xml:space="preserve"> allowed</w:t>
      </w:r>
      <w:r w:rsidR="00FF763D" w:rsidRPr="00FF763D">
        <w:t xml:space="preserve"> </w:t>
      </w:r>
      <w:r w:rsidR="00EC2465">
        <w:t>across</w:t>
      </w:r>
      <w:r w:rsidR="00FF763D" w:rsidRPr="00FF763D">
        <w:t xml:space="preserve"> SBFD and non-SBFD s</w:t>
      </w:r>
      <w:r w:rsidR="006C5402">
        <w:t>lot</w:t>
      </w:r>
      <w:r w:rsidR="00FF763D" w:rsidRPr="00FF763D">
        <w:t>s</w:t>
      </w:r>
      <w:r w:rsidR="00FF763D">
        <w:t xml:space="preserve">, </w:t>
      </w:r>
      <w:r w:rsidR="00EC2465">
        <w:t xml:space="preserve">it needs to be specified that how resource assignment should be done in different types of slots. </w:t>
      </w:r>
      <w:r w:rsidR="00394E22">
        <w:t xml:space="preserve">Furthermore, for </w:t>
      </w:r>
      <w:r w:rsidR="00EB5EDC">
        <w:t xml:space="preserve">PUSCH/PUCCH repetition </w:t>
      </w:r>
      <w:r w:rsidR="00725D64">
        <w:t>across SBFD and non-SBFD slot</w:t>
      </w:r>
      <w:r w:rsidR="0013228D">
        <w:t>s</w:t>
      </w:r>
      <w:r w:rsidR="00725D64">
        <w:t xml:space="preserve">, if </w:t>
      </w:r>
      <w:r w:rsidR="00394E22">
        <w:t xml:space="preserve">frequency hopping </w:t>
      </w:r>
      <w:r w:rsidR="00725D64">
        <w:t xml:space="preserve">is </w:t>
      </w:r>
      <w:r w:rsidR="00394E22">
        <w:t xml:space="preserve">enabled, the frequency range for hopping is also different in </w:t>
      </w:r>
      <w:r w:rsidR="003544B1">
        <w:t>different type of s</w:t>
      </w:r>
      <w:r w:rsidR="00394E22">
        <w:t>lot</w:t>
      </w:r>
      <w:r w:rsidR="003544B1">
        <w:t>s</w:t>
      </w:r>
      <w:r w:rsidR="00394E22">
        <w:t xml:space="preserve">. </w:t>
      </w:r>
      <w:r w:rsidR="005320CD">
        <w:t>In general we make the following observation</w:t>
      </w:r>
      <w:r w:rsidR="0047486B">
        <w:t>s</w:t>
      </w:r>
      <w:r w:rsidR="005320CD">
        <w:t xml:space="preserve"> on the specification impact if this feature </w:t>
      </w:r>
      <w:r w:rsidR="00965F88">
        <w:t xml:space="preserve">of </w:t>
      </w:r>
      <w:r w:rsidR="007438BE">
        <w:t>-multi-slot transmission across SBFD and non-SBFD slots</w:t>
      </w:r>
      <w:r w:rsidR="005320CD">
        <w:t xml:space="preserve"> is to be supported.</w:t>
      </w:r>
      <w:r w:rsidR="00DE2D70">
        <w:t xml:space="preserve"> </w:t>
      </w:r>
      <w:r w:rsidR="005320CD">
        <w:t>More detailed discussion o</w:t>
      </w:r>
      <w:r w:rsidR="008472E0">
        <w:t xml:space="preserve">n supporting multi-slot transmission across SBFD and non-SBFD slots for </w:t>
      </w:r>
      <w:r w:rsidR="005320CD">
        <w:t>each type of physical channel/signal will be provided in the respective sections</w:t>
      </w:r>
      <w:r w:rsidR="008472E0">
        <w:t xml:space="preserve"> in this paper.</w:t>
      </w:r>
    </w:p>
    <w:p w14:paraId="4C43DB07" w14:textId="637FA7F1" w:rsidR="005320CD" w:rsidRDefault="005320CD" w:rsidP="00BC7758">
      <w:pPr>
        <w:pStyle w:val="Observation"/>
      </w:pPr>
      <w:bookmarkStart w:id="61" w:name="_Hlk158210371"/>
      <w:bookmarkStart w:id="62" w:name="_Toc159243995"/>
      <w:r>
        <w:t>Allowing multi-slot transmission across SBFD and non-SBFD slots requires specification updates to specify different resource allocation for different type of slots or clarify UE behaviors when DL/UL channel/signal overlap with RBs outside DL/UL subbands in a SBFD slot.</w:t>
      </w:r>
      <w:bookmarkEnd w:id="61"/>
      <w:bookmarkEnd w:id="62"/>
    </w:p>
    <w:p w14:paraId="7D672F02" w14:textId="689921DD" w:rsidR="00EB5EDC" w:rsidRDefault="00EB5EDC" w:rsidP="00BC7758">
      <w:pPr>
        <w:pStyle w:val="Observation"/>
      </w:pPr>
      <w:bookmarkStart w:id="63" w:name="_Toc159243996"/>
      <w:r>
        <w:t>Allowing PUSCH/PUCCH repetition across SBFD and non-SBFD slots requires specification updates to specify different frequency hopping parameters for different type of slots.</w:t>
      </w:r>
      <w:bookmarkEnd w:id="63"/>
    </w:p>
    <w:p w14:paraId="131516F9" w14:textId="77777777" w:rsidR="00D00BA3" w:rsidRDefault="00D00BA3" w:rsidP="00BC7758">
      <w:pPr>
        <w:pStyle w:val="Observation"/>
        <w:numPr>
          <w:ilvl w:val="0"/>
          <w:numId w:val="0"/>
        </w:numPr>
      </w:pPr>
    </w:p>
    <w:p w14:paraId="6E27F2D0" w14:textId="7688B935" w:rsidR="00400752" w:rsidRDefault="00400752" w:rsidP="00400752">
      <w:pPr>
        <w:pStyle w:val="Heading2"/>
      </w:pPr>
      <w:r>
        <w:lastRenderedPageBreak/>
        <w:t>2.</w:t>
      </w:r>
      <w:r w:rsidR="005725BA">
        <w:t>9</w:t>
      </w:r>
      <w:r>
        <w:tab/>
        <w:t>T</w:t>
      </w:r>
      <w:r w:rsidRPr="00783BE1">
        <w:t xml:space="preserve">ransmissions across SBFD </w:t>
      </w:r>
      <w:r w:rsidR="00765D19">
        <w:t>s</w:t>
      </w:r>
      <w:r w:rsidRPr="00783BE1">
        <w:t xml:space="preserve">ymbols and </w:t>
      </w:r>
      <w:r w:rsidR="00765D19">
        <w:t>n</w:t>
      </w:r>
      <w:r w:rsidRPr="00783BE1">
        <w:t xml:space="preserve">on-SBFD </w:t>
      </w:r>
      <w:r w:rsidR="00765D19">
        <w:t>s</w:t>
      </w:r>
      <w:r w:rsidRPr="00783BE1">
        <w:t>ymbols</w:t>
      </w:r>
      <w:r>
        <w:t xml:space="preserve"> within a </w:t>
      </w:r>
      <w:r w:rsidR="00765D19">
        <w:t>s</w:t>
      </w:r>
      <w:r w:rsidRPr="00783BE1">
        <w:t>lot</w:t>
      </w:r>
    </w:p>
    <w:tbl>
      <w:tblPr>
        <w:tblStyle w:val="TableGrid"/>
        <w:tblW w:w="0" w:type="auto"/>
        <w:tblLook w:val="04A0" w:firstRow="1" w:lastRow="0" w:firstColumn="1" w:lastColumn="0" w:noHBand="0" w:noVBand="1"/>
      </w:tblPr>
      <w:tblGrid>
        <w:gridCol w:w="9629"/>
      </w:tblGrid>
      <w:tr w:rsidR="00432A74" w14:paraId="43CE0BA5" w14:textId="77777777" w:rsidTr="00642C4C">
        <w:tc>
          <w:tcPr>
            <w:tcW w:w="0" w:type="auto"/>
          </w:tcPr>
          <w:p w14:paraId="7E471360" w14:textId="77777777" w:rsidR="00052B06" w:rsidRDefault="00052B06" w:rsidP="00642C4C">
            <w:pPr>
              <w:spacing w:beforeLines="50" w:before="120" w:after="180" w:line="240" w:lineRule="auto"/>
              <w:rPr>
                <w:rFonts w:ascii="Times New Roman" w:eastAsia="DengXian" w:hAnsi="Times New Roman" w:cs="Times New Roman"/>
                <w:szCs w:val="20"/>
                <w:lang w:val="en-GB"/>
              </w:rPr>
            </w:pPr>
            <w:r>
              <w:rPr>
                <w:rFonts w:ascii="Times New Roman" w:eastAsia="DengXian" w:hAnsi="Times New Roman" w:cs="Times New Roman"/>
                <w:szCs w:val="20"/>
                <w:lang w:val="en-GB"/>
              </w:rPr>
              <w:t>TR 38.858:</w:t>
            </w:r>
          </w:p>
          <w:p w14:paraId="73604C4B" w14:textId="77777777" w:rsidR="00052B06" w:rsidRPr="00052B06" w:rsidRDefault="00052B06" w:rsidP="00052B06">
            <w:pPr>
              <w:tabs>
                <w:tab w:val="left" w:pos="0"/>
              </w:tabs>
              <w:spacing w:after="180" w:line="240" w:lineRule="auto"/>
              <w:rPr>
                <w:rFonts w:ascii="Times" w:eastAsia="Malgun Gothic" w:hAnsi="Times" w:cs="Times New Roman"/>
                <w:szCs w:val="24"/>
                <w:lang w:val="en-GB" w:eastAsia="x-none"/>
              </w:rPr>
            </w:pPr>
            <w:r w:rsidRPr="00052B06">
              <w:rPr>
                <w:rFonts w:ascii="Times" w:eastAsia="DengXian" w:hAnsi="Times" w:cs="Times New Roman" w:hint="eastAsia"/>
                <w:szCs w:val="20"/>
                <w:lang w:val="en-GB"/>
              </w:rPr>
              <w:t xml:space="preserve">RAN1 studied whether </w:t>
            </w:r>
            <w:r w:rsidRPr="00052B06">
              <w:rPr>
                <w:rFonts w:ascii="Times" w:eastAsia="Malgun Gothic" w:hAnsi="Times" w:cs="Times New Roman"/>
                <w:szCs w:val="24"/>
                <w:lang w:val="en-GB" w:eastAsia="x-none"/>
              </w:rPr>
              <w:t>the transmission/reception occasion of a physical channel/signal can be mapped to SBFD and non-SBFD symbols within a slot</w:t>
            </w:r>
            <w:r w:rsidRPr="00052B06">
              <w:rPr>
                <w:rFonts w:ascii="Times" w:eastAsia="Malgun Gothic" w:hAnsi="Times" w:cs="Times New Roman" w:hint="eastAsia"/>
                <w:szCs w:val="24"/>
                <w:lang w:val="en-GB" w:eastAsia="x-none"/>
              </w:rPr>
              <w:t xml:space="preserve"> for a UE</w:t>
            </w:r>
            <w:r w:rsidRPr="00052B06">
              <w:rPr>
                <w:rFonts w:ascii="Times" w:eastAsia="Malgun Gothic" w:hAnsi="Times" w:cs="Times New Roman"/>
                <w:szCs w:val="24"/>
                <w:lang w:val="en-GB" w:eastAsia="x-none"/>
              </w:rPr>
              <w:t>, and whether</w:t>
            </w:r>
            <w:r w:rsidRPr="00052B06">
              <w:rPr>
                <w:rFonts w:ascii="Times" w:eastAsia="Malgun Gothic" w:hAnsi="Times" w:cs="Times New Roman" w:hint="eastAsia"/>
                <w:szCs w:val="24"/>
                <w:lang w:val="en-GB" w:eastAsia="x-none"/>
              </w:rPr>
              <w:t xml:space="preserve"> a </w:t>
            </w:r>
            <w:r w:rsidRPr="00052B06">
              <w:rPr>
                <w:rFonts w:ascii="Times" w:eastAsia="Malgun Gothic" w:hAnsi="Times" w:cs="Times New Roman"/>
                <w:szCs w:val="24"/>
                <w:lang w:val="en-GB" w:eastAsia="x-none"/>
              </w:rPr>
              <w:t>UE can transmit/receive in the occasion mapped to SBFD symbols and non-SBFD symbols including:</w:t>
            </w:r>
          </w:p>
          <w:p w14:paraId="505BBB7A"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4" w:name="MCCQCTEMPBM_00000201"/>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 xml:space="preserve">Use-case(s) including the locations and number of </w:t>
            </w:r>
            <w:r w:rsidRPr="00052B06">
              <w:rPr>
                <w:rFonts w:ascii="Times New Roman" w:eastAsia="DengXian" w:hAnsi="Times New Roman" w:cs="Times New Roman" w:hint="eastAsia"/>
                <w:szCs w:val="20"/>
                <w:lang w:val="en-GB"/>
              </w:rPr>
              <w:t>transition</w:t>
            </w:r>
            <w:r w:rsidRPr="00052B06">
              <w:rPr>
                <w:rFonts w:ascii="Times New Roman" w:eastAsia="DengXian" w:hAnsi="Times New Roman" w:cs="Times New Roman"/>
                <w:szCs w:val="20"/>
                <w:lang w:val="en-GB"/>
              </w:rPr>
              <w:t xml:space="preserve"> points of the SBFD and non-SBFD symbols in the slot.</w:t>
            </w:r>
          </w:p>
          <w:p w14:paraId="6A341641"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5" w:name="MCCQCTEMPBM_00000202"/>
            <w:bookmarkEnd w:id="64"/>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r>
            <w:r w:rsidRPr="00052B06">
              <w:rPr>
                <w:rFonts w:ascii="Times New Roman" w:eastAsia="DengXian" w:hAnsi="Times New Roman" w:cs="Times New Roman" w:hint="eastAsia"/>
                <w:szCs w:val="20"/>
                <w:lang w:val="en-GB"/>
              </w:rPr>
              <w:t xml:space="preserve">Potential </w:t>
            </w:r>
            <w:r w:rsidRPr="00052B06">
              <w:rPr>
                <w:rFonts w:ascii="Times New Roman" w:eastAsia="DengXian" w:hAnsi="Times New Roman" w:cs="Times New Roman"/>
                <w:szCs w:val="20"/>
                <w:lang w:val="en-GB"/>
              </w:rPr>
              <w:t>benefits if any</w:t>
            </w:r>
          </w:p>
          <w:p w14:paraId="6B469AC5"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6" w:name="MCCQCTEMPBM_00000203"/>
            <w:bookmarkEnd w:id="65"/>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Phase continuity</w:t>
            </w:r>
          </w:p>
          <w:p w14:paraId="0EAC6BA2"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7" w:name="MCCQCTEMPBM_00000204"/>
            <w:bookmarkEnd w:id="66"/>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Potential interruption of transmissions/receptions during transition</w:t>
            </w:r>
          </w:p>
          <w:p w14:paraId="07A9E745"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8" w:name="MCCQCTEMPBM_00000205"/>
            <w:bookmarkEnd w:id="67"/>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Required guard time</w:t>
            </w:r>
            <w:r w:rsidRPr="00052B06">
              <w:rPr>
                <w:rFonts w:ascii="Times New Roman" w:eastAsia="DengXian" w:hAnsi="Times New Roman" w:cs="Times New Roman" w:hint="eastAsia"/>
                <w:szCs w:val="20"/>
                <w:lang w:val="en-GB"/>
              </w:rPr>
              <w:t xml:space="preserve"> if any</w:t>
            </w:r>
          </w:p>
          <w:p w14:paraId="1C19E523"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69" w:name="MCCQCTEMPBM_00000206"/>
            <w:bookmarkEnd w:id="68"/>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Potential impact on performance</w:t>
            </w:r>
          </w:p>
          <w:p w14:paraId="2878237E"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0" w:name="MCCQCTEMPBM_00000207"/>
            <w:bookmarkEnd w:id="69"/>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Impact on link adaptation, channel estimation, and other procedures</w:t>
            </w:r>
          </w:p>
          <w:p w14:paraId="23F65FF5"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1" w:name="MCCQCTEMPBM_00000208"/>
            <w:bookmarkEnd w:id="70"/>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r>
            <w:r w:rsidRPr="00052B06">
              <w:rPr>
                <w:rFonts w:ascii="Times New Roman" w:eastAsia="DengXian" w:hAnsi="Times New Roman" w:cs="Times New Roman" w:hint="eastAsia"/>
                <w:szCs w:val="20"/>
                <w:lang w:val="en-GB"/>
              </w:rPr>
              <w:t>UL transmission timing if any</w:t>
            </w:r>
          </w:p>
          <w:p w14:paraId="3DCC02E9"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2" w:name="MCCQCTEMPBM_00000209"/>
            <w:bookmarkEnd w:id="71"/>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Implementation complexity</w:t>
            </w:r>
          </w:p>
          <w:p w14:paraId="5698745E"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3" w:name="MCCQCTEMPBM_00000210"/>
            <w:bookmarkEnd w:id="72"/>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r>
            <w:r w:rsidRPr="00052B06">
              <w:rPr>
                <w:rFonts w:ascii="Times New Roman" w:eastAsia="DengXian" w:hAnsi="Times New Roman" w:cs="Times New Roman" w:hint="eastAsia"/>
                <w:szCs w:val="20"/>
                <w:lang w:val="en-GB"/>
              </w:rPr>
              <w:t>A</w:t>
            </w:r>
            <w:r w:rsidRPr="00052B06">
              <w:rPr>
                <w:rFonts w:ascii="Times New Roman" w:eastAsia="DengXian" w:hAnsi="Times New Roman" w:cs="Times New Roman"/>
                <w:szCs w:val="20"/>
                <w:lang w:val="en-GB"/>
              </w:rPr>
              <w:t xml:space="preserve">pplicability for </w:t>
            </w:r>
            <w:r w:rsidRPr="00052B06">
              <w:rPr>
                <w:rFonts w:ascii="Times New Roman" w:eastAsia="DengXian" w:hAnsi="Times New Roman" w:cs="Times New Roman" w:hint="eastAsia"/>
                <w:szCs w:val="20"/>
                <w:lang w:val="en-GB"/>
              </w:rPr>
              <w:t>SBFD aware UE</w:t>
            </w:r>
            <w:r w:rsidRPr="00052B06">
              <w:rPr>
                <w:rFonts w:ascii="Times New Roman" w:eastAsia="DengXian" w:hAnsi="Times New Roman" w:cs="Times New Roman"/>
                <w:szCs w:val="20"/>
                <w:lang w:val="en-GB"/>
              </w:rPr>
              <w:t xml:space="preserve"> and </w:t>
            </w:r>
            <w:r w:rsidRPr="00052B06">
              <w:rPr>
                <w:rFonts w:ascii="Times New Roman" w:eastAsia="DengXian" w:hAnsi="Times New Roman" w:cs="Times New Roman" w:hint="eastAsia"/>
                <w:szCs w:val="20"/>
                <w:lang w:val="en-GB"/>
              </w:rPr>
              <w:t>non-</w:t>
            </w:r>
            <w:r w:rsidRPr="00052B06">
              <w:rPr>
                <w:rFonts w:ascii="Times New Roman" w:eastAsia="DengXian" w:hAnsi="Times New Roman" w:cs="Times New Roman"/>
                <w:szCs w:val="20"/>
                <w:lang w:val="en-GB"/>
              </w:rPr>
              <w:t>SBFD aware UEs</w:t>
            </w:r>
          </w:p>
          <w:p w14:paraId="31B51E2E"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4" w:name="MCCQCTEMPBM_00000211"/>
            <w:bookmarkEnd w:id="73"/>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NOTE: There are more than one scenario where a transmission overlaps SBFD and non-SBFD symbols and some may or may not face the aspects listed above</w:t>
            </w:r>
          </w:p>
          <w:p w14:paraId="0C5390FF"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5" w:name="MCCQCTEMPBM_00000212"/>
            <w:bookmarkEnd w:id="74"/>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NOTE: This study doesn’t mean RAN1 agreement on a slot consisting of SBFD and non-SBFD symbols.</w:t>
            </w:r>
          </w:p>
          <w:bookmarkEnd w:id="75"/>
          <w:p w14:paraId="7CEE48A5" w14:textId="77777777" w:rsidR="00052B06" w:rsidRPr="00052B06" w:rsidRDefault="00052B06" w:rsidP="00052B06">
            <w:pPr>
              <w:spacing w:beforeLines="50" w:before="120" w:after="180" w:line="240" w:lineRule="auto"/>
              <w:rPr>
                <w:rFonts w:ascii="Times" w:eastAsia="DengXian" w:hAnsi="Times" w:cs="Times New Roman"/>
                <w:szCs w:val="20"/>
                <w:lang w:val="en-GB"/>
              </w:rPr>
            </w:pPr>
            <w:r w:rsidRPr="00052B06">
              <w:rPr>
                <w:rFonts w:ascii="Times" w:eastAsia="DengXian" w:hAnsi="Times" w:cs="Times New Roman" w:hint="eastAsia"/>
                <w:szCs w:val="20"/>
                <w:lang w:val="en-GB"/>
              </w:rPr>
              <w:t>For a physical channel/signal occasion mapped to SBFD and non-SBFD symbols within a slot if any, the following options for UE transmission/reception</w:t>
            </w:r>
            <w:r w:rsidRPr="00052B06">
              <w:rPr>
                <w:rFonts w:ascii="Times" w:eastAsia="DengXian" w:hAnsi="Times" w:cs="Times New Roman"/>
                <w:szCs w:val="20"/>
                <w:lang w:val="en-GB"/>
              </w:rPr>
              <w:t xml:space="preserve"> can be considered in the normative stage</w:t>
            </w:r>
            <w:r w:rsidRPr="00052B06">
              <w:rPr>
                <w:rFonts w:ascii="Times" w:eastAsia="DengXian" w:hAnsi="Times" w:cs="Times New Roman" w:hint="eastAsia"/>
                <w:szCs w:val="20"/>
                <w:lang w:val="en-GB"/>
              </w:rPr>
              <w:t>.</w:t>
            </w:r>
          </w:p>
          <w:p w14:paraId="5C65E31E"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6" w:name="MCCQCTEMPBM_00000213"/>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r>
            <w:r w:rsidRPr="00052B06">
              <w:rPr>
                <w:rFonts w:ascii="Times New Roman" w:eastAsia="DengXian" w:hAnsi="Times New Roman" w:cs="Times New Roman" w:hint="eastAsia"/>
                <w:szCs w:val="20"/>
                <w:lang w:val="en-GB"/>
              </w:rPr>
              <w:t>Option 1: UE does not transmit or receive the</w:t>
            </w:r>
            <w:r w:rsidRPr="00052B06">
              <w:rPr>
                <w:rFonts w:ascii="Times New Roman" w:eastAsia="DengXian" w:hAnsi="Times New Roman" w:cs="Times New Roman"/>
                <w:szCs w:val="20"/>
                <w:lang w:val="en-GB"/>
              </w:rPr>
              <w:t xml:space="preserve"> physical channel/signal</w:t>
            </w:r>
            <w:r w:rsidRPr="00052B06">
              <w:rPr>
                <w:rFonts w:ascii="Times New Roman" w:eastAsia="DengXian" w:hAnsi="Times New Roman" w:cs="Times New Roman" w:hint="eastAsia"/>
                <w:szCs w:val="20"/>
                <w:lang w:val="en-GB"/>
              </w:rPr>
              <w:t xml:space="preserve"> within the slot.</w:t>
            </w:r>
          </w:p>
          <w:p w14:paraId="4BC6D56E" w14:textId="77777777"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7" w:name="MCCQCTEMPBM_00000214"/>
            <w:bookmarkEnd w:id="76"/>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r>
            <w:r w:rsidRPr="00052B06">
              <w:rPr>
                <w:rFonts w:ascii="Times New Roman" w:eastAsia="DengXian" w:hAnsi="Times New Roman" w:cs="Times New Roman" w:hint="eastAsia"/>
                <w:szCs w:val="20"/>
                <w:lang w:val="en-GB"/>
              </w:rPr>
              <w:t>Option 2: UE can transmit or receive the</w:t>
            </w:r>
            <w:r w:rsidRPr="00052B06">
              <w:rPr>
                <w:rFonts w:ascii="Times New Roman" w:eastAsia="DengXian" w:hAnsi="Times New Roman" w:cs="Times New Roman"/>
                <w:szCs w:val="20"/>
                <w:lang w:val="en-GB"/>
              </w:rPr>
              <w:t xml:space="preserve"> physical channel/signal within </w:t>
            </w:r>
            <w:r w:rsidRPr="00052B06">
              <w:rPr>
                <w:rFonts w:ascii="Times New Roman" w:eastAsia="DengXian" w:hAnsi="Times New Roman" w:cs="Times New Roman" w:hint="eastAsia"/>
                <w:szCs w:val="20"/>
                <w:lang w:val="en-GB"/>
              </w:rPr>
              <w:t>the</w:t>
            </w:r>
            <w:r w:rsidRPr="00052B06">
              <w:rPr>
                <w:rFonts w:ascii="Times New Roman" w:eastAsia="DengXian" w:hAnsi="Times New Roman" w:cs="Times New Roman"/>
                <w:szCs w:val="20"/>
                <w:lang w:val="en-GB"/>
              </w:rPr>
              <w:t xml:space="preserve"> slot</w:t>
            </w:r>
            <w:r w:rsidRPr="00052B06">
              <w:rPr>
                <w:rFonts w:ascii="Times New Roman" w:eastAsia="DengXian" w:hAnsi="Times New Roman" w:cs="Times New Roman" w:hint="eastAsia"/>
                <w:szCs w:val="20"/>
                <w:lang w:val="en-GB"/>
              </w:rPr>
              <w:t xml:space="preserve"> only under certain conditions.</w:t>
            </w:r>
          </w:p>
          <w:p w14:paraId="25F6CD81" w14:textId="77777777" w:rsidR="00052B06" w:rsidRPr="00052B06" w:rsidRDefault="00052B06" w:rsidP="00052B06">
            <w:pPr>
              <w:spacing w:after="180" w:line="240" w:lineRule="auto"/>
              <w:ind w:left="851" w:hanging="284"/>
              <w:rPr>
                <w:rFonts w:ascii="Times New Roman" w:eastAsia="DengXian" w:hAnsi="Times New Roman" w:cs="Times New Roman"/>
                <w:szCs w:val="20"/>
                <w:lang w:val="en-GB"/>
              </w:rPr>
            </w:pPr>
            <w:bookmarkStart w:id="78" w:name="MCCQCTEMPBM_00000215"/>
            <w:bookmarkEnd w:id="77"/>
            <w:r w:rsidRPr="00052B06">
              <w:rPr>
                <w:rFonts w:ascii="Times New Roman" w:eastAsia="DengXian" w:hAnsi="Times New Roman" w:cs="Times New Roman"/>
                <w:szCs w:val="20"/>
                <w:lang w:val="en-GB"/>
              </w:rPr>
              <w:t>-</w:t>
            </w:r>
            <w:r w:rsidRPr="00052B06">
              <w:rPr>
                <w:rFonts w:ascii="Times New Roman" w:eastAsia="DengXian" w:hAnsi="Times New Roman" w:cs="Times New Roman"/>
                <w:szCs w:val="20"/>
                <w:lang w:val="en-GB"/>
              </w:rPr>
              <w:tab/>
              <w:t xml:space="preserve">The conditions </w:t>
            </w:r>
            <w:r w:rsidRPr="00052B06">
              <w:rPr>
                <w:rFonts w:ascii="Times New Roman" w:eastAsia="DengXian" w:hAnsi="Times New Roman" w:cs="Times New Roman" w:hint="eastAsia"/>
                <w:szCs w:val="20"/>
                <w:lang w:val="en-GB"/>
              </w:rPr>
              <w:t xml:space="preserve">may </w:t>
            </w:r>
            <w:r w:rsidRPr="00052B06">
              <w:rPr>
                <w:rFonts w:ascii="Times New Roman" w:eastAsia="DengXian" w:hAnsi="Times New Roman" w:cs="Times New Roman"/>
                <w:szCs w:val="20"/>
                <w:lang w:val="en-GB"/>
              </w:rPr>
              <w:t>depend on a</w:t>
            </w:r>
            <w:r w:rsidRPr="00052B06">
              <w:rPr>
                <w:rFonts w:ascii="Times New Roman" w:eastAsia="DengXian" w:hAnsi="Times New Roman" w:cs="Times New Roman" w:hint="eastAsia"/>
                <w:szCs w:val="20"/>
                <w:lang w:val="en-GB"/>
              </w:rPr>
              <w:t xml:space="preserve">t least </w:t>
            </w:r>
            <w:r w:rsidRPr="00052B06">
              <w:rPr>
                <w:rFonts w:ascii="Times New Roman" w:eastAsia="DengXian" w:hAnsi="Times New Roman" w:cs="Times New Roman"/>
                <w:szCs w:val="20"/>
                <w:lang w:val="en-GB"/>
              </w:rPr>
              <w:t xml:space="preserve">the following: whether or not </w:t>
            </w:r>
            <w:r w:rsidRPr="00052B06">
              <w:rPr>
                <w:rFonts w:ascii="Times New Roman" w:eastAsia="DengXian" w:hAnsi="Times New Roman" w:cs="Times New Roman" w:hint="eastAsia"/>
                <w:szCs w:val="20"/>
                <w:lang w:val="en-GB"/>
              </w:rPr>
              <w:t>phase continuity can be maintained across SBFD and non-SBFD symbols</w:t>
            </w:r>
            <w:r w:rsidRPr="00052B06">
              <w:rPr>
                <w:rFonts w:ascii="Times New Roman" w:eastAsia="DengXian" w:hAnsi="Times New Roman" w:cs="Times New Roman"/>
                <w:szCs w:val="20"/>
                <w:lang w:val="en-GB"/>
              </w:rPr>
              <w:t>, whether or not there are same</w:t>
            </w:r>
            <w:r w:rsidRPr="00052B06">
              <w:rPr>
                <w:rFonts w:ascii="Times New Roman" w:eastAsia="DengXian" w:hAnsi="Times New Roman" w:cs="Times New Roman" w:hint="eastAsia"/>
                <w:szCs w:val="20"/>
                <w:lang w:val="en-GB"/>
              </w:rPr>
              <w:t xml:space="preserve"> or different transmission/reception parameters </w:t>
            </w:r>
            <w:proofErr w:type="gramStart"/>
            <w:r w:rsidRPr="00052B06">
              <w:rPr>
                <w:rFonts w:ascii="Times New Roman" w:eastAsia="DengXian" w:hAnsi="Times New Roman" w:cs="Times New Roman" w:hint="eastAsia"/>
                <w:szCs w:val="20"/>
                <w:lang w:val="en-GB"/>
              </w:rPr>
              <w:t>e.g.</w:t>
            </w:r>
            <w:proofErr w:type="gramEnd"/>
            <w:r w:rsidRPr="00052B06">
              <w:rPr>
                <w:rFonts w:ascii="Times New Roman" w:eastAsia="DengXian" w:hAnsi="Times New Roman" w:cs="Times New Roman" w:hint="eastAsia"/>
                <w:szCs w:val="20"/>
                <w:lang w:val="en-GB"/>
              </w:rPr>
              <w:t xml:space="preserve"> power control, spatial/QCL, UL timing etc. applied in SBFD and non-SBFD symbols,</w:t>
            </w:r>
            <w:r w:rsidRPr="00052B06">
              <w:rPr>
                <w:rFonts w:ascii="Times New Roman" w:eastAsia="DengXian" w:hAnsi="Times New Roman" w:cs="Times New Roman"/>
                <w:szCs w:val="20"/>
                <w:lang w:val="en-GB"/>
              </w:rPr>
              <w:t xml:space="preserve"> and whether or not there is a guard period between the SBFD and non-SBFD symbols, etc.</w:t>
            </w:r>
          </w:p>
          <w:p w14:paraId="3141C923" w14:textId="02574963" w:rsidR="00052B06" w:rsidRPr="00052B06" w:rsidRDefault="00052B06" w:rsidP="00052B06">
            <w:pPr>
              <w:spacing w:after="180" w:line="240" w:lineRule="auto"/>
              <w:ind w:left="568" w:hanging="284"/>
              <w:rPr>
                <w:rFonts w:ascii="Times New Roman" w:eastAsia="DengXian" w:hAnsi="Times New Roman" w:cs="Times New Roman"/>
                <w:szCs w:val="20"/>
                <w:lang w:val="en-GB"/>
              </w:rPr>
            </w:pPr>
            <w:bookmarkStart w:id="79" w:name="MCCQCTEMPBM_00000216"/>
            <w:bookmarkEnd w:id="78"/>
            <w:r w:rsidRPr="00052B06">
              <w:rPr>
                <w:rFonts w:ascii="Times" w:eastAsia="DengXian" w:hAnsi="Times" w:cs="Times New Roman"/>
                <w:szCs w:val="20"/>
                <w:lang w:val="en-GB"/>
              </w:rPr>
              <w:t>-</w:t>
            </w:r>
            <w:r w:rsidRPr="00052B06">
              <w:rPr>
                <w:rFonts w:ascii="Times" w:eastAsia="DengXian" w:hAnsi="Times" w:cs="Times New Roman"/>
                <w:szCs w:val="20"/>
                <w:lang w:val="en-GB"/>
              </w:rPr>
              <w:tab/>
              <w:t>Other options are not precluded.</w:t>
            </w:r>
            <w:bookmarkEnd w:id="79"/>
          </w:p>
        </w:tc>
      </w:tr>
    </w:tbl>
    <w:p w14:paraId="6C618FFF" w14:textId="2083882E" w:rsidR="00183106" w:rsidRDefault="00183106" w:rsidP="000B1192">
      <w:pPr>
        <w:pStyle w:val="BodyText"/>
      </w:pPr>
    </w:p>
    <w:p w14:paraId="556E2378" w14:textId="57AEC95F" w:rsidR="000A7549" w:rsidRDefault="00721996" w:rsidP="000A7549">
      <w:pPr>
        <w:pStyle w:val="BodyText"/>
      </w:pPr>
      <w:r>
        <w:t>In</w:t>
      </w:r>
      <w:r w:rsidR="000B1192">
        <w:t xml:space="preserve"> Section </w:t>
      </w:r>
      <w:r w:rsidR="00684399">
        <w:t>2.2</w:t>
      </w:r>
      <w:r w:rsidR="00E7135D">
        <w:t>, w</w:t>
      </w:r>
      <w:r w:rsidR="000B1192">
        <w:t xml:space="preserve">here SBFD time domain resource allocation is discussed, it is </w:t>
      </w:r>
      <w:r>
        <w:t>proposed</w:t>
      </w:r>
      <w:r w:rsidR="000B1192">
        <w:t xml:space="preserve"> that </w:t>
      </w:r>
      <w:r w:rsidRPr="00721996">
        <w:t>one set of consecutive symbols are configured as SBFD symbols</w:t>
      </w:r>
      <w:r>
        <w:t xml:space="preserve"> in a TDD pattern period. The transition point</w:t>
      </w:r>
      <w:r w:rsidR="000A7549">
        <w:t>s</w:t>
      </w:r>
      <w:r>
        <w:t xml:space="preserve"> </w:t>
      </w:r>
      <w:r w:rsidRPr="00721996">
        <w:t>can be aligned with slot boundary or within a slot.</w:t>
      </w:r>
      <w:r>
        <w:t xml:space="preserve"> Therefore, </w:t>
      </w:r>
      <w:r w:rsidR="000A7549">
        <w:t>a</w:t>
      </w:r>
      <w:r>
        <w:t xml:space="preserve"> slot </w:t>
      </w:r>
      <w:r w:rsidR="000A7549">
        <w:t>can consist of several legacy DL or UL symbols and a set of consecutive SBFD symbols if a</w:t>
      </w:r>
      <w:r w:rsidR="000A7549" w:rsidRPr="00721996">
        <w:t xml:space="preserve"> transition point </w:t>
      </w:r>
      <w:r w:rsidR="000A7549">
        <w:t xml:space="preserve">between </w:t>
      </w:r>
      <w:r w:rsidR="000A7549" w:rsidRPr="00721996">
        <w:t xml:space="preserve">non-SBFD </w:t>
      </w:r>
      <w:r w:rsidR="000A7549">
        <w:t>and</w:t>
      </w:r>
      <w:r w:rsidR="000A7549" w:rsidRPr="00721996">
        <w:t xml:space="preserve"> SBFD symbols</w:t>
      </w:r>
      <w:r w:rsidR="000A7549">
        <w:t xml:space="preserve"> is scheduled within the slot. Moreover, a </w:t>
      </w:r>
      <w:r w:rsidR="00920E4C">
        <w:t>guard</w:t>
      </w:r>
      <w:r w:rsidR="000A7549">
        <w:t xml:space="preserve"> period between non-SBFD and SBFD symbols</w:t>
      </w:r>
      <w:r w:rsidR="000229CF">
        <w:t xml:space="preserve"> is anticipated</w:t>
      </w:r>
      <w:r w:rsidR="000A7549">
        <w:t>, to allow system reconfiguration in the gNB and timing compensation for propagation delay.</w:t>
      </w:r>
      <w:r w:rsidR="00F91C35">
        <w:t xml:space="preserve"> If a UE is scheduled </w:t>
      </w:r>
      <w:r w:rsidR="00F91C35">
        <w:lastRenderedPageBreak/>
        <w:t>or configured to transmit/receive a physical channel/signal in such a slot with mixed type of symbols, it needs to be discussed that whether the channel/signal can be transmitted across SBFD and non-SBFD symbols.</w:t>
      </w:r>
    </w:p>
    <w:p w14:paraId="023E7DEF" w14:textId="77777777" w:rsidR="00AD4D74" w:rsidRDefault="00AD4D74" w:rsidP="00AD4D74">
      <w:pPr>
        <w:pStyle w:val="BodyText"/>
        <w:keepNext/>
        <w:jc w:val="center"/>
      </w:pPr>
      <w:r>
        <w:rPr>
          <w:noProof/>
        </w:rPr>
        <w:drawing>
          <wp:inline distT="0" distB="0" distL="0" distR="0" wp14:anchorId="591F23D5" wp14:editId="1AAE941F">
            <wp:extent cx="6069330" cy="3009900"/>
            <wp:effectExtent l="0" t="0" r="1270" b="0"/>
            <wp:docPr id="395911249" name="Picture 39591124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69330" cy="3009900"/>
                    </a:xfrm>
                    <a:prstGeom prst="rect">
                      <a:avLst/>
                    </a:prstGeom>
                    <a:noFill/>
                    <a:ln>
                      <a:noFill/>
                    </a:ln>
                  </pic:spPr>
                </pic:pic>
              </a:graphicData>
            </a:graphic>
          </wp:inline>
        </w:drawing>
      </w:r>
    </w:p>
    <w:p w14:paraId="3271F70B" w14:textId="015EDEC8" w:rsidR="00AD4D74" w:rsidRDefault="00AD4D74" w:rsidP="00AD4D74">
      <w:pPr>
        <w:pStyle w:val="Caption"/>
        <w:jc w:val="center"/>
      </w:pPr>
      <w:bookmarkStart w:id="80" w:name="_Ref159242307"/>
      <w:r>
        <w:t xml:space="preserve">Figure </w:t>
      </w:r>
      <w:r>
        <w:fldChar w:fldCharType="begin"/>
      </w:r>
      <w:r>
        <w:instrText xml:space="preserve"> SEQ Figure \* ARABIC </w:instrText>
      </w:r>
      <w:r>
        <w:fldChar w:fldCharType="separate"/>
      </w:r>
      <w:r w:rsidR="00D32653">
        <w:rPr>
          <w:noProof/>
        </w:rPr>
        <w:t>5</w:t>
      </w:r>
      <w:r>
        <w:fldChar w:fldCharType="end"/>
      </w:r>
      <w:bookmarkEnd w:id="80"/>
      <w:r>
        <w:t xml:space="preserve"> PDSCH transmission across DL and SBFD symbols</w:t>
      </w:r>
    </w:p>
    <w:p w14:paraId="1E88D41F" w14:textId="77777777" w:rsidR="00AD4D74" w:rsidRDefault="00AD4D74" w:rsidP="000A7549">
      <w:pPr>
        <w:pStyle w:val="BodyText"/>
      </w:pPr>
    </w:p>
    <w:p w14:paraId="4EA1996A" w14:textId="2713F2A7" w:rsidR="00C72928" w:rsidRDefault="00E7135D" w:rsidP="000A7549">
      <w:pPr>
        <w:pStyle w:val="BodyText"/>
      </w:pPr>
      <w:r>
        <w:fldChar w:fldCharType="begin"/>
      </w:r>
      <w:r>
        <w:instrText xml:space="preserve"> REF _Ref159242307 \h </w:instrText>
      </w:r>
      <w:r>
        <w:fldChar w:fldCharType="separate"/>
      </w:r>
      <w:r w:rsidR="00D32653">
        <w:t xml:space="preserve">Figure </w:t>
      </w:r>
      <w:r w:rsidR="00D32653">
        <w:rPr>
          <w:noProof/>
        </w:rPr>
        <w:t>5</w:t>
      </w:r>
      <w:r>
        <w:fldChar w:fldCharType="end"/>
      </w:r>
      <w:r>
        <w:t xml:space="preserve"> </w:t>
      </w:r>
      <w:r w:rsidR="00423B97">
        <w:t>demonstrates a slot where a switching from DL symbols to SBFD symbols occurs where</w:t>
      </w:r>
      <w:r w:rsidR="0013598B">
        <w:t>in</w:t>
      </w:r>
      <w:r w:rsidR="00423B97">
        <w:t xml:space="preserve"> OFDM </w:t>
      </w:r>
      <w:r w:rsidR="0072725C">
        <w:t xml:space="preserve">symbol </w:t>
      </w:r>
      <w:r w:rsidR="00423B97">
        <w:t>4 is reserved as switching gap. Now let’s consider a PDSCH allocation consists of a set of DL symbols (OFDM 2-3) and SBFD symbols (OFDM 5-13) as shown in the figure.</w:t>
      </w:r>
    </w:p>
    <w:p w14:paraId="26E9870C" w14:textId="0CE90EBB" w:rsidR="00BB0C82" w:rsidRDefault="00F06B8E" w:rsidP="000A7549">
      <w:pPr>
        <w:pStyle w:val="BodyText"/>
      </w:pPr>
      <w:proofErr w:type="gramStart"/>
      <w:r>
        <w:t>First of all</w:t>
      </w:r>
      <w:proofErr w:type="gramEnd"/>
      <w:r w:rsidR="00423B97">
        <w:t xml:space="preserve">, there ought </w:t>
      </w:r>
      <w:r>
        <w:t xml:space="preserve">to be a </w:t>
      </w:r>
      <w:r w:rsidR="00423B97">
        <w:t xml:space="preserve">mechanism to </w:t>
      </w:r>
      <w:r>
        <w:t xml:space="preserve">indicate to the UE different FDRAs </w:t>
      </w:r>
      <w:r w:rsidR="003D56DA">
        <w:t xml:space="preserve">and VRB-to-PRB mapping </w:t>
      </w:r>
      <w:r>
        <w:t xml:space="preserve">in the DL and the SBFD symbols due to the different DL resource availability in the </w:t>
      </w:r>
      <w:r w:rsidR="003D56DA">
        <w:t xml:space="preserve">different </w:t>
      </w:r>
      <w:r>
        <w:t xml:space="preserve">symbols. This is </w:t>
      </w:r>
      <w:proofErr w:type="gramStart"/>
      <w:r>
        <w:t>similar to</w:t>
      </w:r>
      <w:proofErr w:type="gramEnd"/>
      <w:r>
        <w:t xml:space="preserve"> the </w:t>
      </w:r>
      <w:r w:rsidR="003D56DA">
        <w:t xml:space="preserve">problem </w:t>
      </w:r>
      <w:r>
        <w:t>discuss</w:t>
      </w:r>
      <w:r w:rsidR="003D56DA">
        <w:t>ed</w:t>
      </w:r>
      <w:r>
        <w:t xml:space="preserve"> in Section 2.</w:t>
      </w:r>
      <w:r w:rsidR="003F444A">
        <w:t>8</w:t>
      </w:r>
      <w:r>
        <w:t xml:space="preserve"> for PDSCH/PUSCH repetition across symbols of different types. </w:t>
      </w:r>
      <w:r w:rsidR="003D56DA">
        <w:t>Furthermore</w:t>
      </w:r>
      <w:r>
        <w:t>, due to the presence of the switching gap between the DL and</w:t>
      </w:r>
      <w:r w:rsidR="00661F65">
        <w:t xml:space="preserve"> SBFD</w:t>
      </w:r>
      <w:r>
        <w:t xml:space="preserve"> OFDM symbols, gNB might not be able to maintain phase continuity throughout the PDSCH transmission, and hence separate DMRS need</w:t>
      </w:r>
      <w:r w:rsidR="003D56DA">
        <w:t>s</w:t>
      </w:r>
      <w:r>
        <w:t xml:space="preserve"> to be </w:t>
      </w:r>
      <w:r w:rsidR="003D56DA">
        <w:t xml:space="preserve">provided for each part of the transmission to support separate channel estimation at the UE receiver. </w:t>
      </w:r>
      <w:r w:rsidR="00BB0C82">
        <w:t>From performance perspective, considering reduced channel estimation samples for channel demodulation, different interference in different OFDM symbols and more complicated link adaptation situation, PDSCH</w:t>
      </w:r>
      <w:r w:rsidR="003D56DA">
        <w:t xml:space="preserve"> performance degradation can be expected</w:t>
      </w:r>
      <w:r w:rsidR="00BB0C82">
        <w:t>.</w:t>
      </w:r>
    </w:p>
    <w:p w14:paraId="65B2154C" w14:textId="03C84D1A" w:rsidR="00232BC6" w:rsidRDefault="00232BC6" w:rsidP="00232BC6">
      <w:pPr>
        <w:pStyle w:val="BodyText"/>
      </w:pPr>
      <w:r>
        <w:t xml:space="preserve">The issues mentioned above are also valid for PUSCH transmission across SBFD and UL symbols in a slot. Moreover, UL transmission is expected to be more </w:t>
      </w:r>
      <w:r w:rsidRPr="00BB0C82">
        <w:t xml:space="preserve">vulnerable </w:t>
      </w:r>
      <w:r>
        <w:t xml:space="preserve">to increased CLI in SBFD symbols and hence separate power control parameters should be used in SBFD and UL symbols. It would be very difficult, if ever possible, for UE transmitter to </w:t>
      </w:r>
      <w:r w:rsidR="001974E4">
        <w:t>configure</w:t>
      </w:r>
      <w:r>
        <w:t xml:space="preserve"> </w:t>
      </w:r>
      <w:r w:rsidR="001974E4">
        <w:t xml:space="preserve">different </w:t>
      </w:r>
      <w:r>
        <w:t xml:space="preserve">UL transmission power </w:t>
      </w:r>
      <w:r w:rsidR="001974E4">
        <w:t>within a slot</w:t>
      </w:r>
      <w:r w:rsidR="00BB2064">
        <w:t xml:space="preserve"> on a symbol basis</w:t>
      </w:r>
      <w:r>
        <w:t>.</w:t>
      </w:r>
    </w:p>
    <w:p w14:paraId="5768DB3A" w14:textId="4959F652" w:rsidR="00232BC6" w:rsidRDefault="00232BC6" w:rsidP="000B1192">
      <w:pPr>
        <w:pStyle w:val="BodyText"/>
      </w:pPr>
      <w:r>
        <w:t xml:space="preserve">Consider all these </w:t>
      </w:r>
      <w:r w:rsidR="006A1F0C">
        <w:t xml:space="preserve">standardization and implementation </w:t>
      </w:r>
      <w:r>
        <w:t>complexit</w:t>
      </w:r>
      <w:r w:rsidR="006A1F0C">
        <w:t>ies</w:t>
      </w:r>
      <w:r>
        <w:t xml:space="preserve"> and negative impact on performance, we don’t think t</w:t>
      </w:r>
      <w:r w:rsidRPr="00232BC6">
        <w:t>ransmissions across SBFD symbols and non-SBFD symbols within a slot</w:t>
      </w:r>
      <w:r>
        <w:t xml:space="preserve"> should be supported.</w:t>
      </w:r>
    </w:p>
    <w:p w14:paraId="7C5319AF" w14:textId="27DFF386" w:rsidR="000B1192" w:rsidRPr="00052B06" w:rsidRDefault="00721996" w:rsidP="00423B97">
      <w:pPr>
        <w:pStyle w:val="Proposal"/>
      </w:pPr>
      <w:bookmarkStart w:id="81" w:name="_Toc159244016"/>
      <w:r>
        <w:t xml:space="preserve">A UE is not expected to </w:t>
      </w:r>
      <w:r w:rsidR="00A916C2">
        <w:t xml:space="preserve">be scheduled for transmission or reception </w:t>
      </w:r>
      <w:r w:rsidR="00B73063">
        <w:t xml:space="preserve">across SBFD and non-SBFD symbols within a </w:t>
      </w:r>
      <w:r>
        <w:t>slot.</w:t>
      </w:r>
      <w:bookmarkEnd w:id="81"/>
    </w:p>
    <w:p w14:paraId="645C09C3" w14:textId="77777777" w:rsidR="0042681F" w:rsidRPr="00052B06" w:rsidRDefault="0042681F" w:rsidP="0042681F">
      <w:pPr>
        <w:pStyle w:val="Proposal"/>
        <w:numPr>
          <w:ilvl w:val="0"/>
          <w:numId w:val="0"/>
        </w:numPr>
      </w:pPr>
    </w:p>
    <w:p w14:paraId="04F3F55F" w14:textId="17320618" w:rsidR="006E062C" w:rsidRDefault="005A3175" w:rsidP="00CE0424">
      <w:pPr>
        <w:pStyle w:val="Heading1"/>
      </w:pPr>
      <w:bookmarkStart w:id="82" w:name="_Ref189046994"/>
      <w:r>
        <w:t>3</w:t>
      </w:r>
      <w:r w:rsidR="00B409E0">
        <w:tab/>
      </w:r>
      <w:bookmarkEnd w:id="82"/>
      <w:r w:rsidR="001E2495">
        <w:t>Physical channels and</w:t>
      </w:r>
      <w:r w:rsidR="00D178FC">
        <w:t xml:space="preserve"> signals</w:t>
      </w:r>
    </w:p>
    <w:p w14:paraId="0EFF5AF2" w14:textId="6A1A0941" w:rsidR="00A42847" w:rsidRDefault="00A42847" w:rsidP="001670E6"/>
    <w:p w14:paraId="7CECF1A5" w14:textId="4A14C04B" w:rsidR="00635B26" w:rsidRDefault="00635B26" w:rsidP="005F503C">
      <w:pPr>
        <w:pStyle w:val="Heading2"/>
      </w:pPr>
      <w:r>
        <w:lastRenderedPageBreak/>
        <w:t>3.1</w:t>
      </w:r>
      <w:r>
        <w:tab/>
      </w:r>
      <w:r w:rsidR="006B1121">
        <w:t>PDCCH</w:t>
      </w:r>
    </w:p>
    <w:p w14:paraId="36CF5F5B" w14:textId="608CA267" w:rsidR="004F1B5B" w:rsidRDefault="004F1B5B" w:rsidP="00512AC4">
      <w:pPr>
        <w:pStyle w:val="BodyText"/>
        <w:rPr>
          <w:lang w:val="en-GB" w:eastAsia="ja-JP"/>
        </w:rPr>
      </w:pPr>
    </w:p>
    <w:tbl>
      <w:tblPr>
        <w:tblStyle w:val="TableGrid"/>
        <w:tblW w:w="0" w:type="auto"/>
        <w:tblLook w:val="04A0" w:firstRow="1" w:lastRow="0" w:firstColumn="1" w:lastColumn="0" w:noHBand="0" w:noVBand="1"/>
      </w:tblPr>
      <w:tblGrid>
        <w:gridCol w:w="9629"/>
      </w:tblGrid>
      <w:tr w:rsidR="004F1B5B" w:rsidRPr="00281F30" w14:paraId="4F519F5E" w14:textId="77777777">
        <w:tc>
          <w:tcPr>
            <w:tcW w:w="0" w:type="auto"/>
          </w:tcPr>
          <w:p w14:paraId="74E6B4E3" w14:textId="7BEA27DD" w:rsidR="004F1B5B" w:rsidRDefault="004F1B5B" w:rsidP="004F1B5B">
            <w:pPr>
              <w:spacing w:beforeLines="50" w:before="120" w:after="180" w:line="240" w:lineRule="auto"/>
              <w:rPr>
                <w:rFonts w:ascii="Times New Roman" w:eastAsia="DengXian" w:hAnsi="Times New Roman" w:cs="Times New Roman"/>
                <w:szCs w:val="20"/>
                <w:lang w:val="en-GB"/>
              </w:rPr>
            </w:pPr>
            <w:r>
              <w:rPr>
                <w:rFonts w:ascii="Times New Roman" w:eastAsia="DengXian" w:hAnsi="Times New Roman" w:cs="Times New Roman"/>
                <w:szCs w:val="20"/>
                <w:lang w:val="en-GB"/>
              </w:rPr>
              <w:t>TR 38.858:</w:t>
            </w:r>
          </w:p>
          <w:p w14:paraId="65136267" w14:textId="7B7C917F"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 xml:space="preserve">gNB can configure a CORESET and a search space in a way such that the MOs of the search space occur in either SBFD or non-SBFD symbols, or the MOs of the search space occur in both SBFD and non-SBFD </w:t>
            </w:r>
            <w:proofErr w:type="gramStart"/>
            <w:r w:rsidRPr="004F1B5B">
              <w:rPr>
                <w:rFonts w:ascii="Times New Roman" w:eastAsia="DengXian" w:hAnsi="Times New Roman" w:cs="Times New Roman"/>
                <w:szCs w:val="20"/>
                <w:lang w:val="en-GB"/>
              </w:rPr>
              <w:t>symbols</w:t>
            </w:r>
            <w:proofErr w:type="gramEnd"/>
            <w:r w:rsidRPr="004F1B5B">
              <w:rPr>
                <w:rFonts w:ascii="Times New Roman" w:eastAsia="DengXian" w:hAnsi="Times New Roman" w:cs="Times New Roman"/>
                <w:szCs w:val="20"/>
                <w:lang w:val="en-GB"/>
              </w:rPr>
              <w:t xml:space="preserve"> but the associated CORESET does not overlap the boundary of a DL subband in SBFD symbols.</w:t>
            </w:r>
          </w:p>
          <w:p w14:paraId="33B2EFD9"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If it is agreed to be beneficial that a CORESET and a search space are configured that the MOs of the search space occur in both SBFD and non-SBFD symbols and the associated CORESET overlaps the boundary of a DL subband in SBFD symbols, at least the following options can be considered for SBFD-aware UE:</w:t>
            </w:r>
          </w:p>
          <w:p w14:paraId="72A816EB"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w:t>
            </w:r>
            <w:r w:rsidRPr="004F1B5B">
              <w:rPr>
                <w:rFonts w:ascii="Times New Roman" w:eastAsia="DengXian" w:hAnsi="Times New Roman" w:cs="Times New Roman"/>
                <w:szCs w:val="20"/>
                <w:lang w:val="en-GB"/>
              </w:rPr>
              <w:tab/>
              <w:t>Option 1: Separate valid resources for the CORESET in SBFD symbols and in non-SBFD symbols.</w:t>
            </w:r>
          </w:p>
          <w:p w14:paraId="35843354"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w:t>
            </w:r>
            <w:r w:rsidRPr="004F1B5B">
              <w:rPr>
                <w:rFonts w:ascii="Times New Roman" w:eastAsia="DengXian" w:hAnsi="Times New Roman" w:cs="Times New Roman"/>
                <w:szCs w:val="20"/>
                <w:lang w:val="en-GB"/>
              </w:rPr>
              <w:tab/>
              <w:t xml:space="preserve">Option 2: Rate matching or puncturing on the REG(s) of a PDCCH outside DL subband(s). </w:t>
            </w:r>
          </w:p>
          <w:p w14:paraId="2BB1DE08"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w:t>
            </w:r>
            <w:r w:rsidRPr="004F1B5B">
              <w:rPr>
                <w:rFonts w:ascii="Times New Roman" w:eastAsia="DengXian" w:hAnsi="Times New Roman" w:cs="Times New Roman"/>
                <w:szCs w:val="20"/>
                <w:lang w:val="en-GB"/>
              </w:rPr>
              <w:tab/>
              <w:t>Option 3: UE does not monitor a PDCCH candidate if it is mapped to one or more REs that overlap with REs outside DL subband(s).</w:t>
            </w:r>
          </w:p>
          <w:p w14:paraId="619F9B71"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w:t>
            </w:r>
            <w:r w:rsidRPr="004F1B5B">
              <w:rPr>
                <w:rFonts w:ascii="Times New Roman" w:eastAsia="DengXian" w:hAnsi="Times New Roman" w:cs="Times New Roman"/>
                <w:szCs w:val="20"/>
                <w:lang w:val="en-GB"/>
              </w:rPr>
              <w:tab/>
              <w:t>Option 4: Drop search space(s) when the associated CORESET overlaps with RBs outside DL subband(s)</w:t>
            </w:r>
          </w:p>
          <w:p w14:paraId="431B2347" w14:textId="77777777" w:rsidR="004F1B5B" w:rsidRPr="004F1B5B" w:rsidRDefault="004F1B5B" w:rsidP="004F1B5B">
            <w:pPr>
              <w:spacing w:beforeLines="50" w:before="120" w:after="180" w:line="240" w:lineRule="auto"/>
              <w:rPr>
                <w:rFonts w:ascii="Times New Roman" w:eastAsia="DengXian" w:hAnsi="Times New Roman" w:cs="Times New Roman"/>
                <w:szCs w:val="20"/>
                <w:lang w:val="en-GB"/>
              </w:rPr>
            </w:pPr>
            <w:r w:rsidRPr="004F1B5B">
              <w:rPr>
                <w:rFonts w:ascii="Times New Roman" w:eastAsia="DengXian" w:hAnsi="Times New Roman" w:cs="Times New Roman"/>
                <w:szCs w:val="20"/>
                <w:lang w:val="en-GB"/>
              </w:rPr>
              <w:t>-</w:t>
            </w:r>
            <w:r w:rsidRPr="004F1B5B">
              <w:rPr>
                <w:rFonts w:ascii="Times New Roman" w:eastAsia="DengXian" w:hAnsi="Times New Roman" w:cs="Times New Roman"/>
                <w:szCs w:val="20"/>
                <w:lang w:val="en-GB"/>
              </w:rPr>
              <w:tab/>
              <w:t>Option 5: Separate search spaces associated with a CORESET in SBFD and non-SBFD symbols</w:t>
            </w:r>
          </w:p>
          <w:p w14:paraId="435C8470" w14:textId="032543D9" w:rsidR="004F1B5B" w:rsidRPr="00281F30" w:rsidRDefault="004F1B5B" w:rsidP="004F1B5B">
            <w:pPr>
              <w:spacing w:beforeLines="50" w:before="120" w:after="180" w:line="240" w:lineRule="auto"/>
              <w:ind w:left="568" w:hanging="284"/>
              <w:rPr>
                <w:lang w:val="en-GB"/>
              </w:rPr>
            </w:pPr>
            <w:r w:rsidRPr="004F1B5B">
              <w:rPr>
                <w:rFonts w:ascii="Times New Roman" w:eastAsia="DengXian" w:hAnsi="Times New Roman" w:cs="Times New Roman"/>
                <w:szCs w:val="20"/>
                <w:lang w:val="en-GB"/>
              </w:rPr>
              <w:t>Note: These options are applicable to at least USS.</w:t>
            </w:r>
          </w:p>
        </w:tc>
      </w:tr>
    </w:tbl>
    <w:p w14:paraId="4C89E825" w14:textId="77777777" w:rsidR="004F1B5B" w:rsidRDefault="004F1B5B" w:rsidP="004F1B5B">
      <w:pPr>
        <w:pStyle w:val="BodyText"/>
      </w:pPr>
    </w:p>
    <w:p w14:paraId="26DF5C20" w14:textId="0AA279DF" w:rsidR="00302F65" w:rsidRDefault="00302F65" w:rsidP="00302F65">
      <w:pPr>
        <w:pStyle w:val="BodyText"/>
        <w:rPr>
          <w:lang w:val="en-GB" w:eastAsia="ja-JP"/>
        </w:rPr>
      </w:pPr>
      <w:r>
        <w:rPr>
          <w:lang w:val="en-GB" w:eastAsia="ja-JP"/>
        </w:rPr>
        <w:t xml:space="preserve">The </w:t>
      </w:r>
      <w:r w:rsidR="00FE1864">
        <w:rPr>
          <w:lang w:val="en-GB" w:eastAsia="ja-JP"/>
        </w:rPr>
        <w:t>above text</w:t>
      </w:r>
      <w:r>
        <w:rPr>
          <w:lang w:val="en-GB" w:eastAsia="ja-JP"/>
        </w:rPr>
        <w:t xml:space="preserve"> was captured in TR 38.858 regarding potential PDCCH enhancements to cover the case </w:t>
      </w:r>
      <w:proofErr w:type="gramStart"/>
      <w:r>
        <w:rPr>
          <w:lang w:val="en-GB" w:eastAsia="ja-JP"/>
        </w:rPr>
        <w:t>similar to</w:t>
      </w:r>
      <w:proofErr w:type="gramEnd"/>
      <w:r>
        <w:rPr>
          <w:lang w:val="en-GB" w:eastAsia="ja-JP"/>
        </w:rPr>
        <w:t xml:space="preserve"> that discussed in the previous section where a periodically occurring signal/channel can lead to some instances occurring in SBFD slots and others in non SBFD slots. In this case, the periodically occurring signal/channel consists of the monitoring occasions (MOs) of a PDCCH search space. The MOs are periodic, and the time locations are determined by the periodicity, offset, and duration configured for the search space.</w:t>
      </w:r>
    </w:p>
    <w:p w14:paraId="17A6526D" w14:textId="27A21B15" w:rsidR="003434B2" w:rsidRDefault="004F1B5B" w:rsidP="004F1B5B">
      <w:pPr>
        <w:pStyle w:val="BodyText"/>
      </w:pPr>
      <w:proofErr w:type="gramStart"/>
      <w:r>
        <w:t>First of all</w:t>
      </w:r>
      <w:proofErr w:type="gramEnd"/>
      <w:r>
        <w:t xml:space="preserve">, by appropriate configuration of the periodicity, offset, and duration </w:t>
      </w:r>
      <w:r w:rsidR="004F0867">
        <w:t xml:space="preserve">for </w:t>
      </w:r>
      <w:r>
        <w:t xml:space="preserve">a search space, it is possible to avoid </w:t>
      </w:r>
      <w:r w:rsidR="00FA777B">
        <w:t>the</w:t>
      </w:r>
      <w:r>
        <w:t xml:space="preserve"> situation where the MOs occur in both SBFD and non-SBFD slots. </w:t>
      </w:r>
      <w:r w:rsidR="00A53EE6">
        <w:t xml:space="preserve">Furthermore, </w:t>
      </w:r>
      <w:r w:rsidR="00BD1832">
        <w:t>the current specification</w:t>
      </w:r>
      <w:r w:rsidR="00DC1DC5">
        <w:t>s</w:t>
      </w:r>
      <w:r w:rsidR="00BD1832">
        <w:t xml:space="preserve"> support the following:</w:t>
      </w:r>
    </w:p>
    <w:p w14:paraId="40DEE226" w14:textId="10F5BD2A" w:rsidR="00BD1832" w:rsidRDefault="00BD1832" w:rsidP="00BD1832">
      <w:pPr>
        <w:pStyle w:val="BodyText"/>
        <w:numPr>
          <w:ilvl w:val="0"/>
          <w:numId w:val="61"/>
        </w:numPr>
      </w:pPr>
      <w:r>
        <w:t>Non-contiguous frequency domain resource allocation for a CORESET</w:t>
      </w:r>
      <w:r w:rsidR="006E2B1C">
        <w:t xml:space="preserve"> provides significant flexibility to avoid the CORESET overlapping with an UL subband by appropriate configuration of the bitmap  </w:t>
      </w:r>
      <w:proofErr w:type="spellStart"/>
      <w:r w:rsidR="006E2B1C" w:rsidRPr="004A19AF">
        <w:rPr>
          <w:i/>
          <w:iCs/>
        </w:rPr>
        <w:t>freqDomainResources</w:t>
      </w:r>
      <w:proofErr w:type="spellEnd"/>
      <w:r w:rsidR="006E2B1C">
        <w:t xml:space="preserve"> to ensure that groups of 6 RBs are fully contained within a DL subband</w:t>
      </w:r>
      <w:r w:rsidR="00A47E76">
        <w:t>.</w:t>
      </w:r>
    </w:p>
    <w:p w14:paraId="2AAAE954" w14:textId="17008E79" w:rsidR="005A00E3" w:rsidRDefault="00DB34FB" w:rsidP="005A00E3">
      <w:pPr>
        <w:pStyle w:val="BodyText"/>
        <w:numPr>
          <w:ilvl w:val="0"/>
          <w:numId w:val="61"/>
        </w:numPr>
      </w:pPr>
      <w:r>
        <w:t xml:space="preserve">As </w:t>
      </w:r>
      <w:r w:rsidR="007503CE">
        <w:t>the</w:t>
      </w:r>
      <w:r>
        <w:t xml:space="preserve"> c</w:t>
      </w:r>
      <w:r w:rsidR="00A47E76">
        <w:t>onfigur</w:t>
      </w:r>
      <w:r w:rsidR="007503CE">
        <w:t>ation of</w:t>
      </w:r>
      <w:r w:rsidR="00A47E76">
        <w:t xml:space="preserve"> multiple search spaces and multiple CORESETs</w:t>
      </w:r>
      <w:r w:rsidR="007503CE">
        <w:t xml:space="preserve"> is supported,</w:t>
      </w:r>
      <w:r w:rsidR="007503CE" w:rsidRPr="007503CE">
        <w:t xml:space="preserve"> </w:t>
      </w:r>
      <w:r w:rsidR="007503CE">
        <w:t>it is possible to have one CORESET/search space combination that is tailored for SBFD symbols and another that is tailored for non-SBFD symbols.</w:t>
      </w:r>
    </w:p>
    <w:p w14:paraId="79C6174D" w14:textId="77777777" w:rsidR="005A00E3" w:rsidRPr="00635B26" w:rsidRDefault="005A00E3" w:rsidP="005A00E3">
      <w:pPr>
        <w:pStyle w:val="Observation"/>
        <w:rPr>
          <w:lang w:val="en-GB"/>
        </w:rPr>
      </w:pPr>
      <w:bookmarkStart w:id="83" w:name="_Toc159243997"/>
      <w:r>
        <w:rPr>
          <w:lang w:val="en-GB"/>
        </w:rPr>
        <w:t xml:space="preserve">CORESET </w:t>
      </w:r>
      <w:r w:rsidRPr="00BF58DF">
        <w:rPr>
          <w:i/>
          <w:iCs/>
          <w:lang w:val="en-GB"/>
        </w:rPr>
        <w:t>i</w:t>
      </w:r>
      <w:r>
        <w:rPr>
          <w:lang w:val="en-GB"/>
        </w:rPr>
        <w:t xml:space="preserve">, </w:t>
      </w:r>
      <w:r w:rsidRPr="00BF58DF">
        <w:rPr>
          <w:i/>
          <w:iCs/>
          <w:lang w:val="en-GB"/>
        </w:rPr>
        <w:t>i</w:t>
      </w:r>
      <w:r>
        <w:rPr>
          <w:lang w:val="en-GB"/>
        </w:rPr>
        <w:t>&gt;0, is configured in a bitmap with a granularity of 6 RBs, allowing intermittent configuration around an UL subband.</w:t>
      </w:r>
      <w:bookmarkEnd w:id="83"/>
    </w:p>
    <w:p w14:paraId="619BB539" w14:textId="0A453DBA" w:rsidR="004F1B5B" w:rsidRDefault="004F1B5B" w:rsidP="004F1B5B">
      <w:pPr>
        <w:pStyle w:val="BodyText"/>
      </w:pPr>
      <w:r>
        <w:t>Since the existing spec is already very flexible</w:t>
      </w:r>
      <w:r w:rsidR="00451744">
        <w:t xml:space="preserve"> and </w:t>
      </w:r>
      <w:r w:rsidR="00C5409C">
        <w:t xml:space="preserve">the </w:t>
      </w:r>
      <w:r w:rsidR="00D069BD">
        <w:t xml:space="preserve">required </w:t>
      </w:r>
      <w:r w:rsidR="00C5409C">
        <w:t xml:space="preserve">efforts </w:t>
      </w:r>
      <w:r w:rsidR="00C46DF3">
        <w:t>to make any</w:t>
      </w:r>
      <w:r w:rsidR="00D069BD">
        <w:t xml:space="preserve"> type of</w:t>
      </w:r>
      <w:r w:rsidR="00C46DF3">
        <w:t xml:space="preserve"> enhancements to PDCCH </w:t>
      </w:r>
      <w:r w:rsidR="00D069BD">
        <w:t xml:space="preserve">at this point are </w:t>
      </w:r>
      <w:r w:rsidR="00C46DF3">
        <w:t>significant</w:t>
      </w:r>
      <w:r>
        <w:t>, our strong preference is to avoid going down the road of PDCCH enhancement to avoid such major spec effort.</w:t>
      </w:r>
    </w:p>
    <w:p w14:paraId="164CA186" w14:textId="6282E8E5" w:rsidR="004F1B5B" w:rsidRDefault="004F1B5B" w:rsidP="00E92C2E">
      <w:pPr>
        <w:pStyle w:val="Proposal"/>
      </w:pPr>
      <w:bookmarkStart w:id="84" w:name="_Toc134802261"/>
      <w:bookmarkStart w:id="85" w:name="_Toc159244017"/>
      <w:r>
        <w:t xml:space="preserve">The existing specifications for CORESET and search space configuration are sufficiently flexible to support SBFD operation. It is not recommended to pursue PDCCH enhancements to cover a (corner) case in which different MOs of the same search space </w:t>
      </w:r>
      <w:r>
        <w:lastRenderedPageBreak/>
        <w:t>could potentially occur in both SBFD and non-SBFD symbols</w:t>
      </w:r>
      <w:bookmarkEnd w:id="84"/>
      <w:r w:rsidR="002D1A9A">
        <w:t xml:space="preserve"> </w:t>
      </w:r>
      <w:r w:rsidR="002D1A9A" w:rsidRPr="002D1A9A">
        <w:t>and the associated CORESET overlaps the boundary of a DL subband in SBFD symbols</w:t>
      </w:r>
      <w:r>
        <w:t>.</w:t>
      </w:r>
      <w:bookmarkEnd w:id="85"/>
    </w:p>
    <w:p w14:paraId="5897D041" w14:textId="77777777" w:rsidR="002F1DBF" w:rsidRDefault="002F1DBF" w:rsidP="002F1DBF"/>
    <w:p w14:paraId="531D3B88" w14:textId="77777777" w:rsidR="002F1DBF" w:rsidRDefault="002F1DBF" w:rsidP="002F1DBF">
      <w:pPr>
        <w:pStyle w:val="Heading2"/>
      </w:pPr>
      <w:r>
        <w:t>3.2 PDSCH</w:t>
      </w:r>
    </w:p>
    <w:p w14:paraId="467D25FB" w14:textId="7D0FE457" w:rsidR="008647D6" w:rsidRDefault="002321EE" w:rsidP="0008579C">
      <w:pPr>
        <w:pStyle w:val="Heading3"/>
      </w:pPr>
      <w:r>
        <w:t>3.</w:t>
      </w:r>
      <w:r w:rsidR="002E23F5">
        <w:t>2</w:t>
      </w:r>
      <w:r>
        <w:t>.1</w:t>
      </w:r>
      <w:r>
        <w:tab/>
        <w:t>PDSCH transmissions across SBFD symbols and non-SBFD symbols</w:t>
      </w:r>
    </w:p>
    <w:p w14:paraId="510D131A" w14:textId="3E4CD9AC" w:rsidR="008647D6" w:rsidRDefault="008647D6" w:rsidP="008647D6">
      <w:pPr>
        <w:pStyle w:val="BodyText"/>
        <w:rPr>
          <w:lang w:val="en-GB"/>
        </w:rPr>
      </w:pPr>
      <w:r>
        <w:rPr>
          <w:lang w:val="en-GB"/>
        </w:rPr>
        <w:t xml:space="preserve">Rel-16 supports PDSCH repetitions in multiple consecutive slots which </w:t>
      </w:r>
      <w:r w:rsidR="006E622F">
        <w:rPr>
          <w:lang w:val="en-GB"/>
        </w:rPr>
        <w:t xml:space="preserve">is </w:t>
      </w:r>
      <w:r>
        <w:rPr>
          <w:lang w:val="en-GB"/>
        </w:rPr>
        <w:t>subject</w:t>
      </w:r>
      <w:r w:rsidR="006E622F">
        <w:rPr>
          <w:lang w:val="en-GB"/>
        </w:rPr>
        <w:t xml:space="preserve"> </w:t>
      </w:r>
      <w:r>
        <w:rPr>
          <w:lang w:val="en-GB"/>
        </w:rPr>
        <w:t>to scheduling constrains imposed by common or dedicated TDD configurations and SSB transmissions. The same frequency domain and time domain resource allocation are used throughout the repetition occasions. PDSCH repetitions are supported for dynamic scheduling and configured transmissions (i.e., SPS PDSCH).</w:t>
      </w:r>
      <w:r w:rsidR="00B24FF1">
        <w:rPr>
          <w:lang w:val="en-GB"/>
        </w:rPr>
        <w:t xml:space="preserve"> Furthermore, the current 3GPP specification</w:t>
      </w:r>
      <w:r w:rsidR="00C06913">
        <w:rPr>
          <w:lang w:val="en-GB"/>
        </w:rPr>
        <w:t>s</w:t>
      </w:r>
      <w:r w:rsidR="00B24FF1">
        <w:rPr>
          <w:lang w:val="en-GB"/>
        </w:rPr>
        <w:t xml:space="preserve"> also support multiple PDSCHs scheduled by a single DCI. We have had a general discussion about multi-slot transmission across SBFD and non-SBFD slots in</w:t>
      </w:r>
      <w:r w:rsidR="0088503A">
        <w:rPr>
          <w:lang w:val="en-GB"/>
        </w:rPr>
        <w:t xml:space="preserve"> Section</w:t>
      </w:r>
      <w:r w:rsidR="003B3E21">
        <w:rPr>
          <w:lang w:val="en-GB"/>
        </w:rPr>
        <w:t xml:space="preserve"> </w:t>
      </w:r>
      <w:r w:rsidR="00BB20F5">
        <w:rPr>
          <w:lang w:val="en-GB"/>
        </w:rPr>
        <w:t>2.8</w:t>
      </w:r>
      <w:r w:rsidR="00B24FF1">
        <w:rPr>
          <w:lang w:val="en-GB"/>
        </w:rPr>
        <w:t xml:space="preserve">. In this section we further analyse more detailed problems specific </w:t>
      </w:r>
      <w:r w:rsidR="00B3669A">
        <w:rPr>
          <w:lang w:val="en-GB"/>
        </w:rPr>
        <w:t>to</w:t>
      </w:r>
      <w:r w:rsidR="00B24FF1">
        <w:rPr>
          <w:lang w:val="en-GB"/>
        </w:rPr>
        <w:t xml:space="preserve"> multi-slot PDSCH transmission.</w:t>
      </w:r>
    </w:p>
    <w:p w14:paraId="7DA2A54F" w14:textId="77777777" w:rsidR="008647D6" w:rsidRPr="00EA6339" w:rsidRDefault="008647D6" w:rsidP="008647D6">
      <w:pPr>
        <w:pStyle w:val="BodyText"/>
        <w:rPr>
          <w:b/>
          <w:bCs/>
          <w:lang w:val="en-GB"/>
        </w:rPr>
      </w:pPr>
      <w:r w:rsidRPr="00EA6339">
        <w:rPr>
          <w:b/>
          <w:bCs/>
          <w:lang w:val="en-GB"/>
        </w:rPr>
        <w:t>Option 1</w:t>
      </w:r>
    </w:p>
    <w:p w14:paraId="63ACB1DF" w14:textId="12CFDC82" w:rsidR="008647D6" w:rsidRDefault="008647D6" w:rsidP="008647D6">
      <w:pPr>
        <w:pStyle w:val="BodyText"/>
        <w:rPr>
          <w:lang w:val="en-GB"/>
        </w:rPr>
      </w:pPr>
      <w:r>
        <w:rPr>
          <w:lang w:val="en-GB"/>
        </w:rPr>
        <w:t xml:space="preserve">For SBFD operation, the current PDSCH repetition mechanisms can be enhanced to restrict PDSCH transmissions to </w:t>
      </w:r>
      <w:r w:rsidR="00977E39">
        <w:rPr>
          <w:lang w:val="en-GB"/>
        </w:rPr>
        <w:t xml:space="preserve">either </w:t>
      </w:r>
      <w:r>
        <w:rPr>
          <w:lang w:val="en-GB"/>
        </w:rPr>
        <w:t xml:space="preserve">SBFD symbols only or non-SBFD symbols only in multiple slots (Option 1). Whether PDSCH repetitions should be transmitted in SBFD or non-SBFD slots can be explicitly indicated by a field in the scheduling DCI or </w:t>
      </w:r>
      <w:r w:rsidR="00B47E4A">
        <w:rPr>
          <w:lang w:val="en-GB"/>
        </w:rPr>
        <w:t xml:space="preserve">in </w:t>
      </w:r>
      <w:r>
        <w:rPr>
          <w:lang w:val="en-GB"/>
        </w:rPr>
        <w:t xml:space="preserve">the semi-static configuration, or can be implicitly derived, for example, based on the type of the slot in which the first valid transmission occasion occurs. Thereafter, the PDSCH repetition occasions in the succeeding slots with type other than the first occasion should be omitted. The same time domain </w:t>
      </w:r>
      <w:r w:rsidR="00E338B6">
        <w:rPr>
          <w:lang w:val="en-GB"/>
        </w:rPr>
        <w:t xml:space="preserve">and frequency domain </w:t>
      </w:r>
      <w:r>
        <w:rPr>
          <w:lang w:val="en-GB"/>
        </w:rPr>
        <w:t xml:space="preserve">resource assignment as indicated by the scheduling </w:t>
      </w:r>
      <w:proofErr w:type="gramStart"/>
      <w:r>
        <w:rPr>
          <w:lang w:val="en-GB"/>
        </w:rPr>
        <w:t>DCI</w:t>
      </w:r>
      <w:proofErr w:type="gramEnd"/>
      <w:r>
        <w:rPr>
          <w:lang w:val="en-GB"/>
        </w:rPr>
        <w:t xml:space="preserve"> or the semi-static configuration should be applied to all repetitions</w:t>
      </w:r>
      <w:r w:rsidR="00CF4E6E">
        <w:rPr>
          <w:lang w:val="en-GB"/>
        </w:rPr>
        <w:t xml:space="preserve"> that follow</w:t>
      </w:r>
      <w:r>
        <w:rPr>
          <w:lang w:val="en-GB"/>
        </w:rPr>
        <w:t>.</w:t>
      </w:r>
    </w:p>
    <w:p w14:paraId="2B915043" w14:textId="11780FB0" w:rsidR="008647D6" w:rsidRDefault="008647D6" w:rsidP="008647D6">
      <w:pPr>
        <w:pStyle w:val="BodyText"/>
        <w:rPr>
          <w:lang w:val="en-GB"/>
        </w:rPr>
      </w:pPr>
      <w:r>
        <w:rPr>
          <w:lang w:val="en-GB"/>
        </w:rPr>
        <w:fldChar w:fldCharType="begin"/>
      </w:r>
      <w:r>
        <w:rPr>
          <w:lang w:val="en-GB"/>
        </w:rPr>
        <w:instrText xml:space="preserve"> REF _Ref157583187 \h </w:instrText>
      </w:r>
      <w:r>
        <w:rPr>
          <w:lang w:val="en-GB"/>
        </w:rPr>
      </w:r>
      <w:r>
        <w:rPr>
          <w:lang w:val="en-GB"/>
        </w:rPr>
        <w:fldChar w:fldCharType="separate"/>
      </w:r>
      <w:r w:rsidR="00D32653">
        <w:t xml:space="preserve">Figure </w:t>
      </w:r>
      <w:r w:rsidR="00D32653">
        <w:rPr>
          <w:noProof/>
        </w:rPr>
        <w:t>6</w:t>
      </w:r>
      <w:r>
        <w:rPr>
          <w:lang w:val="en-GB"/>
        </w:rPr>
        <w:fldChar w:fldCharType="end"/>
      </w:r>
      <w:r>
        <w:rPr>
          <w:lang w:val="en-GB"/>
        </w:rPr>
        <w:t xml:space="preserve"> demonstrates an example for a PDSCH transmission with 8 repetitions in a SBFD system with TDD pattern DXXXU and SBFD configuration D-U-D and the repetitions are restricted to the SBFD slots. The first occurrence is in slot 2 and the repetitions are in the succeeding SBFD slots (i.e., slot</w:t>
      </w:r>
      <w:r w:rsidR="004970D0">
        <w:rPr>
          <w:lang w:val="en-GB"/>
        </w:rPr>
        <w:t>s</w:t>
      </w:r>
      <w:r>
        <w:rPr>
          <w:lang w:val="en-GB"/>
        </w:rPr>
        <w:t xml:space="preserve"> 3, 6, 7 and 8). Repetitions in </w:t>
      </w:r>
      <w:proofErr w:type="gramStart"/>
      <w:r>
        <w:rPr>
          <w:lang w:val="en-GB"/>
        </w:rPr>
        <w:t>slot</w:t>
      </w:r>
      <w:proofErr w:type="gramEnd"/>
      <w:r>
        <w:rPr>
          <w:lang w:val="en-GB"/>
        </w:rPr>
        <w:t xml:space="preserve"> 4, 5 and 9 are omitted due to the repetition restrictions.</w:t>
      </w:r>
    </w:p>
    <w:p w14:paraId="00C0E965" w14:textId="0608D515" w:rsidR="008647D6" w:rsidRDefault="000F034C" w:rsidP="008647D6">
      <w:pPr>
        <w:pStyle w:val="BodyText"/>
        <w:keepNext/>
        <w:jc w:val="center"/>
      </w:pPr>
      <w:r>
        <w:rPr>
          <w:noProof/>
        </w:rPr>
        <w:drawing>
          <wp:inline distT="0" distB="0" distL="0" distR="0" wp14:anchorId="78A0D43C" wp14:editId="198D8FEE">
            <wp:extent cx="3851910" cy="3146425"/>
            <wp:effectExtent l="0" t="0" r="0" b="3175"/>
            <wp:docPr id="1043862085" name="Picture 104386208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1"/>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1910" cy="3146425"/>
                    </a:xfrm>
                    <a:prstGeom prst="rect">
                      <a:avLst/>
                    </a:prstGeom>
                    <a:noFill/>
                    <a:ln>
                      <a:noFill/>
                    </a:ln>
                  </pic:spPr>
                </pic:pic>
              </a:graphicData>
            </a:graphic>
          </wp:inline>
        </w:drawing>
      </w:r>
    </w:p>
    <w:p w14:paraId="03C66D02" w14:textId="7F24BCD1" w:rsidR="008647D6" w:rsidRPr="00A81EED" w:rsidRDefault="008647D6" w:rsidP="008647D6">
      <w:pPr>
        <w:pStyle w:val="Caption"/>
        <w:jc w:val="center"/>
        <w:rPr>
          <w:noProof/>
        </w:rPr>
      </w:pPr>
      <w:bookmarkStart w:id="86" w:name="_Ref157583187"/>
      <w:r>
        <w:t xml:space="preserve">Figure </w:t>
      </w:r>
      <w:r>
        <w:fldChar w:fldCharType="begin"/>
      </w:r>
      <w:r>
        <w:instrText xml:space="preserve"> SEQ Figure \* ARABIC </w:instrText>
      </w:r>
      <w:r>
        <w:fldChar w:fldCharType="separate"/>
      </w:r>
      <w:r w:rsidR="00D32653">
        <w:rPr>
          <w:noProof/>
        </w:rPr>
        <w:t>6</w:t>
      </w:r>
      <w:r>
        <w:fldChar w:fldCharType="end"/>
      </w:r>
      <w:bookmarkEnd w:id="86"/>
      <w:r>
        <w:t xml:space="preserve"> PDSCH repetitions in a SBFD system</w:t>
      </w:r>
      <w:r>
        <w:rPr>
          <w:noProof/>
        </w:rPr>
        <w:t xml:space="preserve"> (Option 1)</w:t>
      </w:r>
    </w:p>
    <w:p w14:paraId="6E50AABC" w14:textId="370C09DA" w:rsidR="008647D6" w:rsidRDefault="008647D6" w:rsidP="008647D6">
      <w:pPr>
        <w:pStyle w:val="Proposal"/>
        <w:rPr>
          <w:lang w:val="en-GB"/>
        </w:rPr>
      </w:pPr>
      <w:bookmarkStart w:id="87" w:name="_Toc159244018"/>
      <w:r>
        <w:rPr>
          <w:lang w:val="en-GB"/>
        </w:rPr>
        <w:t>If PDSCH</w:t>
      </w:r>
      <w:r w:rsidR="00465BFA">
        <w:rPr>
          <w:lang w:val="en-GB"/>
        </w:rPr>
        <w:t xml:space="preserve"> repetition</w:t>
      </w:r>
      <w:r>
        <w:rPr>
          <w:lang w:val="en-GB"/>
        </w:rPr>
        <w:t xml:space="preserve"> transmissions are restricted to SBFD symbols only or non-SBFD symbols only in multiple slots (Option 1), the repetition slot type can be indicated </w:t>
      </w:r>
      <w:r>
        <w:rPr>
          <w:lang w:val="en-GB"/>
        </w:rPr>
        <w:lastRenderedPageBreak/>
        <w:t xml:space="preserve">explicitly by scheduling indication/configuration or derived based on the </w:t>
      </w:r>
      <w:r w:rsidR="00115EBE">
        <w:rPr>
          <w:lang w:val="en-GB"/>
        </w:rPr>
        <w:t>slot type of the</w:t>
      </w:r>
      <w:r>
        <w:rPr>
          <w:lang w:val="en-GB"/>
        </w:rPr>
        <w:t xml:space="preserve"> first </w:t>
      </w:r>
      <w:r w:rsidR="00D1339A">
        <w:rPr>
          <w:lang w:val="en-GB"/>
        </w:rPr>
        <w:t>valid</w:t>
      </w:r>
      <w:r>
        <w:rPr>
          <w:lang w:val="en-GB"/>
        </w:rPr>
        <w:t xml:space="preserve"> repetition occasion.</w:t>
      </w:r>
      <w:bookmarkEnd w:id="87"/>
    </w:p>
    <w:p w14:paraId="27B2DECD" w14:textId="77777777" w:rsidR="008647D6" w:rsidRDefault="008647D6" w:rsidP="008647D6">
      <w:pPr>
        <w:pStyle w:val="BodyText"/>
        <w:rPr>
          <w:lang w:val="en-GB"/>
        </w:rPr>
      </w:pPr>
    </w:p>
    <w:p w14:paraId="141A134D" w14:textId="77777777" w:rsidR="008647D6" w:rsidRPr="000E1285" w:rsidRDefault="008647D6" w:rsidP="008647D6">
      <w:pPr>
        <w:pStyle w:val="BodyText"/>
        <w:rPr>
          <w:b/>
          <w:bCs/>
          <w:lang w:val="en-GB"/>
        </w:rPr>
      </w:pPr>
      <w:r w:rsidRPr="000E1285">
        <w:rPr>
          <w:b/>
          <w:bCs/>
          <w:lang w:val="en-GB"/>
        </w:rPr>
        <w:t>Option 2</w:t>
      </w:r>
    </w:p>
    <w:p w14:paraId="4763269F" w14:textId="32999590" w:rsidR="008647D6" w:rsidRDefault="008647D6" w:rsidP="008647D6">
      <w:pPr>
        <w:pStyle w:val="BodyText"/>
        <w:rPr>
          <w:lang w:val="en-GB"/>
        </w:rPr>
      </w:pPr>
      <w:r>
        <w:rPr>
          <w:lang w:val="en-GB"/>
        </w:rPr>
        <w:t xml:space="preserve">Alternatively, PDSCH repetitions can be allowed in SBFD symbols and non-SBFD symbols in multiple slots. That is, PDSCH repetition occasions can be scheduled in DL slots and DL subband(s) in SBFD slots based </w:t>
      </w:r>
      <w:r w:rsidR="00F63806">
        <w:rPr>
          <w:lang w:val="en-GB"/>
        </w:rPr>
        <w:t xml:space="preserve">on </w:t>
      </w:r>
      <w:r>
        <w:rPr>
          <w:lang w:val="en-GB"/>
        </w:rPr>
        <w:t xml:space="preserve">the TDD </w:t>
      </w:r>
      <w:r w:rsidR="00F63806">
        <w:rPr>
          <w:lang w:val="en-GB"/>
        </w:rPr>
        <w:t xml:space="preserve">DL/UL </w:t>
      </w:r>
      <w:r>
        <w:rPr>
          <w:lang w:val="en-GB"/>
        </w:rPr>
        <w:t>configuration with SBFD enhancement. Because the frequency domain resource that can be used for transmission is different in SBFD and non-SBFD slots, the UE needs to understand how PDSCH is mapped to physical resource</w:t>
      </w:r>
      <w:r w:rsidR="00BD6A00">
        <w:rPr>
          <w:lang w:val="en-GB"/>
        </w:rPr>
        <w:t>s</w:t>
      </w:r>
      <w:r>
        <w:rPr>
          <w:lang w:val="en-GB"/>
        </w:rPr>
        <w:t xml:space="preserve"> in different type of slots. A few </w:t>
      </w:r>
      <w:r w:rsidRPr="00270253">
        <w:rPr>
          <w:lang w:val="en-GB"/>
        </w:rPr>
        <w:t xml:space="preserve">frequency resource allocation options </w:t>
      </w:r>
      <w:r>
        <w:rPr>
          <w:lang w:val="en-GB"/>
        </w:rPr>
        <w:t xml:space="preserve">are summarized in TS 38.858 to address this issue </w:t>
      </w:r>
      <w:r w:rsidR="0018185F">
        <w:rPr>
          <w:lang w:val="en-GB"/>
        </w:rPr>
        <w:fldChar w:fldCharType="begin"/>
      </w:r>
      <w:r w:rsidR="0018185F">
        <w:rPr>
          <w:lang w:val="en-GB"/>
        </w:rPr>
        <w:instrText xml:space="preserve"> REF _Ref158324309 \r \h </w:instrText>
      </w:r>
      <w:r w:rsidR="0018185F">
        <w:rPr>
          <w:lang w:val="en-GB"/>
        </w:rPr>
      </w:r>
      <w:r w:rsidR="0018185F">
        <w:rPr>
          <w:lang w:val="en-GB"/>
        </w:rPr>
        <w:fldChar w:fldCharType="separate"/>
      </w:r>
      <w:r w:rsidR="00D32653">
        <w:rPr>
          <w:lang w:val="en-GB"/>
        </w:rPr>
        <w:t>[1]</w:t>
      </w:r>
      <w:r w:rsidR="0018185F">
        <w:rPr>
          <w:lang w:val="en-GB"/>
        </w:rPr>
        <w:fldChar w:fldCharType="end"/>
      </w:r>
      <w:r>
        <w:rPr>
          <w:lang w:val="en-GB"/>
        </w:rPr>
        <w:t>.</w:t>
      </w:r>
    </w:p>
    <w:p w14:paraId="41CD7DB3" w14:textId="4D4D48CB" w:rsidR="008647D6" w:rsidRDefault="008647D6" w:rsidP="008647D6">
      <w:pPr>
        <w:pStyle w:val="BodyText"/>
        <w:rPr>
          <w:lang w:val="en-GB"/>
        </w:rPr>
      </w:pPr>
      <w:r w:rsidRPr="008F1EAC">
        <w:t>In the current specification</w:t>
      </w:r>
      <w:r w:rsidR="00296430">
        <w:t>s</w:t>
      </w:r>
      <w:r w:rsidRPr="008F1EAC">
        <w:t xml:space="preserve"> a FDRA field in a DCI or in a semi-static configuration </w:t>
      </w:r>
      <w:r w:rsidR="00665C26">
        <w:t xml:space="preserve">occupies quite </w:t>
      </w:r>
      <w:r>
        <w:t xml:space="preserve">many </w:t>
      </w:r>
      <w:r w:rsidR="00665C26">
        <w:t xml:space="preserve">bits. For example, </w:t>
      </w:r>
      <w:r w:rsidRPr="008F1EAC">
        <w:t>assuming a BWP of 272 RBs with RBG size 16 and resource allocation Type 0</w:t>
      </w:r>
      <w:r w:rsidR="00665C26">
        <w:t>, the FDRA field can be as large as 17 bits</w:t>
      </w:r>
      <w:r w:rsidR="00665C26" w:rsidRPr="008F1EAC">
        <w:t>.</w:t>
      </w:r>
      <w:r w:rsidRPr="008F1EAC">
        <w:t xml:space="preserve"> </w:t>
      </w:r>
      <w:r>
        <w:rPr>
          <w:lang w:val="en-GB"/>
        </w:rPr>
        <w:t>Providing s</w:t>
      </w:r>
      <w:r w:rsidRPr="00137834">
        <w:rPr>
          <w:lang w:val="en-GB"/>
        </w:rPr>
        <w:t>eparate FDRA configurations/indications for SBFD slots and non-SBFD slots</w:t>
      </w:r>
      <w:r>
        <w:rPr>
          <w:lang w:val="en-GB"/>
        </w:rPr>
        <w:t xml:space="preserve"> will increase the DCI size significantly and hence should be avoided. In the example below we demonstrate a solution that requires only one FDRA field in the scheduling DCI or the semi-static configuration but is still able to indicate different frequency domain resource assignment for SBFD and non-SBFD slots for PDSCH repetitions.</w:t>
      </w:r>
    </w:p>
    <w:p w14:paraId="035C1100" w14:textId="16F0929A" w:rsidR="008647D6" w:rsidRDefault="008647D6" w:rsidP="008647D6">
      <w:pPr>
        <w:pStyle w:val="BodyText"/>
        <w:rPr>
          <w:lang w:val="en-GB"/>
        </w:rPr>
      </w:pPr>
      <w:r>
        <w:rPr>
          <w:lang w:val="en-GB"/>
        </w:rPr>
        <w:t xml:space="preserve">Consider an example where a PDSCH transmission with K = 8 repetitions is scheduled to a UE in a SBFD system with TDD pattern DXXXU, hereby the SBFD configuration is D-U-D, as shown in </w:t>
      </w:r>
      <w:r>
        <w:rPr>
          <w:lang w:val="en-GB"/>
        </w:rPr>
        <w:fldChar w:fldCharType="begin"/>
      </w:r>
      <w:r>
        <w:rPr>
          <w:lang w:val="en-GB"/>
        </w:rPr>
        <w:instrText xml:space="preserve"> REF _Ref157547597 \h </w:instrText>
      </w:r>
      <w:r>
        <w:rPr>
          <w:lang w:val="en-GB"/>
        </w:rPr>
      </w:r>
      <w:r>
        <w:rPr>
          <w:lang w:val="en-GB"/>
        </w:rPr>
        <w:fldChar w:fldCharType="separate"/>
      </w:r>
      <w:r w:rsidR="00D32653">
        <w:t xml:space="preserve">Figure </w:t>
      </w:r>
      <w:r w:rsidR="00D32653">
        <w:rPr>
          <w:noProof/>
        </w:rPr>
        <w:t>7</w:t>
      </w:r>
      <w:r>
        <w:rPr>
          <w:lang w:val="en-GB"/>
        </w:rPr>
        <w:fldChar w:fldCharType="end"/>
      </w:r>
      <w:r>
        <w:rPr>
          <w:lang w:val="en-GB"/>
        </w:rPr>
        <w:t xml:space="preserve">. The scheduling DCI or the SPS PDSCH configuration include a single FDRA field, which indicates a set of VRBs to the UE. The same set of VRBs can be mapped to different set of PRBs in a DL slot and in the SBFD slot. More specifically, for a DL slot, the current VRB to PRB mapping mechanism can be reused, while for a SBFD slot, the set of allocated VRBs should be mapped to a set of PRBs in one </w:t>
      </w:r>
      <w:r w:rsidR="00C33CCD">
        <w:rPr>
          <w:lang w:val="en-GB"/>
        </w:rPr>
        <w:t>or</w:t>
      </w:r>
      <w:r>
        <w:rPr>
          <w:lang w:val="en-GB"/>
        </w:rPr>
        <w:t xml:space="preserve"> both of the DL subbands according to some predefined rules (See section </w:t>
      </w:r>
      <w:r>
        <w:rPr>
          <w:lang w:val="en-GB"/>
        </w:rPr>
        <w:fldChar w:fldCharType="begin"/>
      </w:r>
      <w:r>
        <w:rPr>
          <w:lang w:val="en-GB"/>
        </w:rPr>
        <w:instrText xml:space="preserve"> REF _Ref157584652 \h </w:instrText>
      </w:r>
      <w:r>
        <w:rPr>
          <w:lang w:val="en-GB"/>
        </w:rPr>
      </w:r>
      <w:r>
        <w:rPr>
          <w:lang w:val="en-GB"/>
        </w:rPr>
        <w:fldChar w:fldCharType="separate"/>
      </w:r>
      <w:r w:rsidR="00D32653">
        <w:t>3.2.3</w:t>
      </w:r>
      <w:r w:rsidR="00D32653">
        <w:tab/>
        <w:t>Frequency Domain Resource Allocation</w:t>
      </w:r>
      <w:r>
        <w:rPr>
          <w:lang w:val="en-GB"/>
        </w:rPr>
        <w:fldChar w:fldCharType="end"/>
      </w:r>
      <w:r>
        <w:rPr>
          <w:lang w:val="en-GB"/>
        </w:rPr>
        <w:t xml:space="preserve"> for detailed discussion on PDSCH VRB-to-PRB mapping in SBFD slot). The scheduler in the gNB should ensure the set of allocated VRBs can be mapped to a set of PRBs in the DL subband(s) in the SBFD slots, otherwise it needs to rate-match </w:t>
      </w:r>
      <w:r w:rsidR="003532CA">
        <w:rPr>
          <w:lang w:val="en-GB"/>
        </w:rPr>
        <w:t xml:space="preserve">or puncture </w:t>
      </w:r>
      <w:r>
        <w:rPr>
          <w:lang w:val="en-GB"/>
        </w:rPr>
        <w:t>the PDSCH to fit it into the reduced resource allocation in those slots. According to the current specification, PDSCH transmission occasion in slot 4 collides with a UL slot and hence should be omitted.</w:t>
      </w:r>
    </w:p>
    <w:p w14:paraId="7E04DFB9" w14:textId="77777777" w:rsidR="008647D6" w:rsidRDefault="008647D6" w:rsidP="008647D6">
      <w:pPr>
        <w:pStyle w:val="BodyText"/>
        <w:rPr>
          <w:lang w:val="en-GB"/>
        </w:rPr>
      </w:pPr>
    </w:p>
    <w:p w14:paraId="1C07BB4A" w14:textId="77777777" w:rsidR="008647D6" w:rsidRDefault="008647D6" w:rsidP="008647D6">
      <w:pPr>
        <w:pStyle w:val="BodyText"/>
        <w:keepNext/>
        <w:jc w:val="center"/>
      </w:pPr>
      <w:r>
        <w:rPr>
          <w:noProof/>
        </w:rPr>
        <w:drawing>
          <wp:inline distT="0" distB="0" distL="0" distR="0" wp14:anchorId="1F2710A1" wp14:editId="38B5A2FE">
            <wp:extent cx="3830320" cy="3153410"/>
            <wp:effectExtent l="0" t="0" r="0" b="0"/>
            <wp:docPr id="1500326167" name="Picture 150032616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0320" cy="3153410"/>
                    </a:xfrm>
                    <a:prstGeom prst="rect">
                      <a:avLst/>
                    </a:prstGeom>
                    <a:noFill/>
                    <a:ln>
                      <a:noFill/>
                    </a:ln>
                  </pic:spPr>
                </pic:pic>
              </a:graphicData>
            </a:graphic>
          </wp:inline>
        </w:drawing>
      </w:r>
    </w:p>
    <w:p w14:paraId="6FA8BBC1" w14:textId="6C80AD76" w:rsidR="008647D6" w:rsidRDefault="008647D6" w:rsidP="008647D6">
      <w:pPr>
        <w:pStyle w:val="Caption"/>
        <w:jc w:val="center"/>
      </w:pPr>
      <w:bookmarkStart w:id="88" w:name="_Ref157547597"/>
      <w:r>
        <w:t xml:space="preserve">Figure </w:t>
      </w:r>
      <w:r>
        <w:fldChar w:fldCharType="begin"/>
      </w:r>
      <w:r>
        <w:instrText xml:space="preserve"> SEQ Figure \* ARABIC </w:instrText>
      </w:r>
      <w:r>
        <w:fldChar w:fldCharType="separate"/>
      </w:r>
      <w:r w:rsidR="00D32653">
        <w:rPr>
          <w:noProof/>
        </w:rPr>
        <w:t>7</w:t>
      </w:r>
      <w:r>
        <w:fldChar w:fldCharType="end"/>
      </w:r>
      <w:bookmarkEnd w:id="88"/>
      <w:r>
        <w:t xml:space="preserve"> PDSCH repetitions in a SBFD system (Option 2)</w:t>
      </w:r>
    </w:p>
    <w:p w14:paraId="3737CBF5" w14:textId="1C220E88" w:rsidR="008647D6" w:rsidRDefault="00E1414E" w:rsidP="006D54F8">
      <w:pPr>
        <w:jc w:val="both"/>
        <w:rPr>
          <w:lang w:val="en-GB"/>
        </w:rPr>
      </w:pPr>
      <w:r>
        <w:lastRenderedPageBreak/>
        <w:t>If Option 2 is to be adopted for multi-PDSCH scheduling, similar approaches as discussed for PDSCH repetition can be reused. That is, a single FDRA is included in the indications/configurations for the multiple PDSCH transmissions. The FDRA indicates a set of VRBs which are mapped to different set of PRBs depending on the slot type.</w:t>
      </w:r>
    </w:p>
    <w:p w14:paraId="72983EC2" w14:textId="20F6E6E3" w:rsidR="008647D6" w:rsidRDefault="008647D6" w:rsidP="008647D6">
      <w:pPr>
        <w:pStyle w:val="Proposal"/>
        <w:rPr>
          <w:lang w:val="en-GB"/>
        </w:rPr>
      </w:pPr>
      <w:bookmarkStart w:id="89" w:name="_Toc159244019"/>
      <w:r>
        <w:rPr>
          <w:lang w:val="en-GB"/>
        </w:rPr>
        <w:t xml:space="preserve">If </w:t>
      </w:r>
      <w:r w:rsidR="004A3533">
        <w:rPr>
          <w:lang w:val="en-GB"/>
        </w:rPr>
        <w:t>multi-slot</w:t>
      </w:r>
      <w:r>
        <w:rPr>
          <w:lang w:val="en-GB"/>
        </w:rPr>
        <w:t xml:space="preserve"> PDSCH transmissions can be </w:t>
      </w:r>
      <w:r w:rsidR="004A3533">
        <w:rPr>
          <w:lang w:val="en-GB"/>
        </w:rPr>
        <w:t>across</w:t>
      </w:r>
      <w:r>
        <w:rPr>
          <w:lang w:val="en-GB"/>
        </w:rPr>
        <w:t xml:space="preserve"> SBFD </w:t>
      </w:r>
      <w:r w:rsidR="004A3533">
        <w:rPr>
          <w:lang w:val="en-GB"/>
        </w:rPr>
        <w:t>and</w:t>
      </w:r>
      <w:r>
        <w:rPr>
          <w:lang w:val="en-GB"/>
        </w:rPr>
        <w:t xml:space="preserve"> non-SBFD slots (Option 2), adopt the solution where the scheduling DCI includes a single </w:t>
      </w:r>
      <w:r w:rsidR="002E388D">
        <w:rPr>
          <w:lang w:val="en-GB"/>
        </w:rPr>
        <w:t>FDRA</w:t>
      </w:r>
      <w:r>
        <w:rPr>
          <w:lang w:val="en-GB"/>
        </w:rPr>
        <w:t xml:space="preserve"> field, which indicates a set of VRB and be mapped to a different set of PRBs in SBFD and non-SBFD slots.</w:t>
      </w:r>
      <w:bookmarkEnd w:id="89"/>
    </w:p>
    <w:p w14:paraId="3A448E5D" w14:textId="77777777" w:rsidR="002321EE" w:rsidRPr="00206C2F" w:rsidRDefault="002321EE" w:rsidP="008647D6">
      <w:pPr>
        <w:pStyle w:val="BodyText"/>
      </w:pPr>
    </w:p>
    <w:p w14:paraId="3DE698A4" w14:textId="6B637CAF" w:rsidR="00D56E8E" w:rsidRDefault="00F4138E" w:rsidP="00D27D12">
      <w:pPr>
        <w:pStyle w:val="Heading3"/>
      </w:pPr>
      <w:r>
        <w:t>3.</w:t>
      </w:r>
      <w:r w:rsidR="002321EE">
        <w:t>2</w:t>
      </w:r>
      <w:r>
        <w:t>.</w:t>
      </w:r>
      <w:r w:rsidR="00FF1898">
        <w:t>2</w:t>
      </w:r>
      <w:r>
        <w:tab/>
      </w:r>
      <w:r w:rsidR="00382558">
        <w:t>P</w:t>
      </w:r>
      <w:r w:rsidR="00EC1A5A">
        <w:t>recoding</w:t>
      </w:r>
    </w:p>
    <w:tbl>
      <w:tblPr>
        <w:tblStyle w:val="TableGrid"/>
        <w:tblW w:w="0" w:type="auto"/>
        <w:tblLook w:val="04A0" w:firstRow="1" w:lastRow="0" w:firstColumn="1" w:lastColumn="0" w:noHBand="0" w:noVBand="1"/>
      </w:tblPr>
      <w:tblGrid>
        <w:gridCol w:w="9629"/>
      </w:tblGrid>
      <w:tr w:rsidR="001366F7" w14:paraId="5A8FC9FE" w14:textId="77777777" w:rsidTr="001366F7">
        <w:tc>
          <w:tcPr>
            <w:tcW w:w="9629" w:type="dxa"/>
          </w:tcPr>
          <w:p w14:paraId="12982CCE" w14:textId="07D5159D" w:rsidR="001366F7" w:rsidRPr="00593D2F" w:rsidRDefault="001366F7" w:rsidP="001366F7">
            <w:pPr>
              <w:spacing w:after="180" w:line="240" w:lineRule="auto"/>
              <w:rPr>
                <w:rFonts w:eastAsia="DengXian" w:cs="Arial"/>
                <w:szCs w:val="20"/>
                <w:lang w:val="en-GB"/>
              </w:rPr>
            </w:pPr>
            <w:r w:rsidRPr="00593D2F">
              <w:rPr>
                <w:rFonts w:eastAsia="DengXian" w:cs="Arial"/>
                <w:szCs w:val="20"/>
                <w:lang w:val="en-GB"/>
              </w:rPr>
              <w:t>From TR38.858</w:t>
            </w:r>
          </w:p>
          <w:p w14:paraId="723B8F4D" w14:textId="60680BC3" w:rsidR="001366F7" w:rsidRPr="001366F7" w:rsidRDefault="001366F7" w:rsidP="001366F7">
            <w:pPr>
              <w:spacing w:after="180" w:line="240" w:lineRule="auto"/>
              <w:rPr>
                <w:rFonts w:ascii="Times New Roman" w:eastAsia="DengXian" w:hAnsi="Times New Roman" w:cs="Times New Roman"/>
                <w:szCs w:val="20"/>
                <w:lang w:val="en-GB"/>
              </w:rPr>
            </w:pPr>
            <w:r w:rsidRPr="001366F7">
              <w:rPr>
                <w:rFonts w:ascii="Times New Roman" w:eastAsia="DengXian" w:hAnsi="Times New Roman" w:cs="Times New Roman"/>
                <w:szCs w:val="20"/>
                <w:lang w:val="en-GB"/>
              </w:rPr>
              <w:t>For SBFD-aware UEs, at least the following issues for PDSCH are studied:</w:t>
            </w:r>
          </w:p>
          <w:p w14:paraId="71F56FAF" w14:textId="77777777" w:rsidR="001366F7" w:rsidRPr="001366F7" w:rsidRDefault="001366F7" w:rsidP="001366F7">
            <w:pPr>
              <w:spacing w:after="180" w:line="240" w:lineRule="auto"/>
              <w:ind w:left="568" w:hanging="284"/>
              <w:rPr>
                <w:rFonts w:ascii="Times New Roman" w:eastAsia="DengXian" w:hAnsi="Times New Roman" w:cs="Times New Roman"/>
                <w:szCs w:val="20"/>
                <w:lang w:val="en-GB"/>
              </w:rPr>
            </w:pPr>
            <w:bookmarkStart w:id="90" w:name="MCCQCTEMPBM_00000191"/>
            <w:r w:rsidRPr="001366F7">
              <w:rPr>
                <w:rFonts w:ascii="Times New Roman" w:eastAsia="DengXian" w:hAnsi="Times New Roman" w:cs="Times New Roman"/>
                <w:szCs w:val="20"/>
                <w:lang w:val="en-GB"/>
              </w:rPr>
              <w:t>-</w:t>
            </w:r>
            <w:r w:rsidRPr="001366F7">
              <w:rPr>
                <w:rFonts w:ascii="Times New Roman" w:eastAsia="DengXian" w:hAnsi="Times New Roman" w:cs="Times New Roman"/>
                <w:szCs w:val="20"/>
                <w:lang w:val="en-GB"/>
              </w:rPr>
              <w:tab/>
              <w:t xml:space="preserve">PRG(s) with size of 2 and 4 that overlaps with subband boundary </w:t>
            </w:r>
          </w:p>
          <w:p w14:paraId="6FCA905F" w14:textId="77777777" w:rsidR="001366F7" w:rsidRPr="001366F7" w:rsidRDefault="001366F7" w:rsidP="001366F7">
            <w:pPr>
              <w:spacing w:after="180" w:line="240" w:lineRule="auto"/>
              <w:ind w:left="568" w:hanging="284"/>
              <w:rPr>
                <w:rFonts w:ascii="Times New Roman" w:eastAsia="DengXian" w:hAnsi="Times New Roman" w:cs="Times New Roman"/>
                <w:szCs w:val="20"/>
                <w:lang w:val="en-GB"/>
              </w:rPr>
            </w:pPr>
            <w:bookmarkStart w:id="91" w:name="MCCQCTEMPBM_00000192"/>
            <w:bookmarkEnd w:id="90"/>
            <w:r w:rsidRPr="001366F7">
              <w:rPr>
                <w:rFonts w:ascii="Times New Roman" w:eastAsia="DengXian" w:hAnsi="Times New Roman" w:cs="Times New Roman"/>
                <w:szCs w:val="20"/>
                <w:lang w:val="en-GB"/>
              </w:rPr>
              <w:t>-</w:t>
            </w:r>
            <w:r w:rsidRPr="001366F7">
              <w:rPr>
                <w:rFonts w:ascii="Times New Roman" w:eastAsia="DengXian" w:hAnsi="Times New Roman" w:cs="Times New Roman"/>
                <w:szCs w:val="20"/>
                <w:lang w:val="en-GB"/>
              </w:rPr>
              <w:tab/>
              <w:t>Wideband precoder in case of non-contiguous DL subbands</w:t>
            </w:r>
          </w:p>
          <w:bookmarkEnd w:id="91"/>
          <w:p w14:paraId="491179D5" w14:textId="77777777" w:rsidR="001366F7" w:rsidRPr="001366F7" w:rsidRDefault="001366F7" w:rsidP="001366F7">
            <w:pPr>
              <w:spacing w:after="180" w:line="240" w:lineRule="auto"/>
              <w:rPr>
                <w:rFonts w:ascii="Times New Roman" w:eastAsia="DengXian" w:hAnsi="Times New Roman" w:cs="Times New Roman"/>
                <w:szCs w:val="20"/>
                <w:lang w:val="en-GB"/>
              </w:rPr>
            </w:pPr>
            <w:r w:rsidRPr="001366F7">
              <w:rPr>
                <w:rFonts w:ascii="Times New Roman" w:eastAsia="DengXian" w:hAnsi="Times New Roman" w:cs="Times New Roman"/>
                <w:szCs w:val="20"/>
                <w:lang w:val="en-GB"/>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1366F7">
              <w:rPr>
                <w:rFonts w:ascii="Times New Roman" w:eastAsia="DengXian" w:hAnsi="Times New Roman" w:cs="Times New Roman" w:hint="eastAsia"/>
                <w:szCs w:val="20"/>
                <w:lang w:val="en-GB"/>
              </w:rPr>
              <w:t xml:space="preserve"> It is noted that UE complexity could increase if this feature is supported.</w:t>
            </w:r>
            <w:r w:rsidRPr="001366F7">
              <w:rPr>
                <w:rFonts w:ascii="Times New Roman" w:eastAsia="DengXian" w:hAnsi="Times New Roman" w:cs="Times New Roman"/>
                <w:szCs w:val="20"/>
                <w:lang w:val="en-GB"/>
              </w:rPr>
              <w:t xml:space="preserve"> </w:t>
            </w:r>
          </w:p>
          <w:p w14:paraId="3E7BBAD1" w14:textId="77777777" w:rsidR="001366F7" w:rsidRPr="001366F7" w:rsidRDefault="001366F7" w:rsidP="001366F7">
            <w:pPr>
              <w:spacing w:after="180" w:line="240" w:lineRule="auto"/>
              <w:rPr>
                <w:rFonts w:ascii="Times New Roman" w:eastAsia="DengXian" w:hAnsi="Times New Roman" w:cs="Times New Roman"/>
                <w:szCs w:val="20"/>
                <w:lang w:val="en-GB"/>
              </w:rPr>
            </w:pPr>
            <w:r w:rsidRPr="001366F7">
              <w:rPr>
                <w:rFonts w:ascii="Times New Roman" w:eastAsia="DengXian" w:hAnsi="Times New Roman" w:cs="Times New Roman"/>
                <w:szCs w:val="20"/>
                <w:lang w:val="en-GB"/>
              </w:rPr>
              <w:t xml:space="preserve">If PRG is determined as wideband, </w:t>
            </w:r>
            <w:r w:rsidRPr="001366F7">
              <w:rPr>
                <w:rFonts w:ascii="Times New Roman" w:eastAsia="DengXian" w:hAnsi="Times New Roman" w:cs="Times New Roman" w:hint="eastAsia"/>
                <w:szCs w:val="20"/>
                <w:lang w:val="en-GB"/>
              </w:rPr>
              <w:t xml:space="preserve">the </w:t>
            </w:r>
            <w:r w:rsidRPr="001366F7">
              <w:rPr>
                <w:rFonts w:ascii="Times New Roman" w:eastAsia="DengXian" w:hAnsi="Times New Roman" w:cs="Times New Roman"/>
                <w:szCs w:val="20"/>
                <w:lang w:val="en-GB"/>
              </w:rPr>
              <w:t>following</w:t>
            </w:r>
            <w:r w:rsidRPr="001366F7">
              <w:rPr>
                <w:rFonts w:ascii="Times New Roman" w:eastAsia="DengXian" w:hAnsi="Times New Roman" w:cs="Times New Roman" w:hint="eastAsia"/>
                <w:szCs w:val="20"/>
                <w:lang w:val="en-GB"/>
              </w:rPr>
              <w:t xml:space="preserve"> two options are studied.</w:t>
            </w:r>
          </w:p>
          <w:p w14:paraId="2BBAC6FC" w14:textId="77777777" w:rsidR="001366F7" w:rsidRPr="001366F7" w:rsidRDefault="001366F7" w:rsidP="001366F7">
            <w:pPr>
              <w:spacing w:after="180" w:line="240" w:lineRule="auto"/>
              <w:ind w:left="568" w:hanging="284"/>
              <w:rPr>
                <w:rFonts w:ascii="Times New Roman" w:eastAsia="DengXian" w:hAnsi="Times New Roman" w:cs="Times New Roman"/>
                <w:szCs w:val="20"/>
                <w:lang w:val="en-GB"/>
              </w:rPr>
            </w:pPr>
            <w:bookmarkStart w:id="92" w:name="MCCQCTEMPBM_00000193"/>
            <w:r w:rsidRPr="001366F7">
              <w:rPr>
                <w:rFonts w:ascii="Times New Roman" w:eastAsia="DengXian" w:hAnsi="Times New Roman" w:cs="Times New Roman"/>
                <w:szCs w:val="20"/>
                <w:lang w:val="en-GB"/>
              </w:rPr>
              <w:t>-</w:t>
            </w:r>
            <w:r w:rsidRPr="001366F7">
              <w:rPr>
                <w:rFonts w:ascii="Times New Roman" w:eastAsia="DengXian" w:hAnsi="Times New Roman" w:cs="Times New Roman"/>
                <w:szCs w:val="20"/>
                <w:lang w:val="en-GB"/>
              </w:rPr>
              <w:tab/>
              <w:t>Option 1: non-contiguous frequency resources across two DL subbands but contiguous frequency resource within each DL subband can be allocated</w:t>
            </w:r>
          </w:p>
          <w:p w14:paraId="377069F8" w14:textId="77777777" w:rsidR="001366F7" w:rsidRPr="001366F7" w:rsidRDefault="001366F7" w:rsidP="001366F7">
            <w:pPr>
              <w:spacing w:after="180" w:line="240" w:lineRule="auto"/>
              <w:ind w:left="568" w:hanging="284"/>
              <w:rPr>
                <w:rFonts w:ascii="Times New Roman" w:eastAsia="DengXian" w:hAnsi="Times New Roman" w:cs="Times New Roman"/>
                <w:szCs w:val="20"/>
                <w:lang w:val="en-GB"/>
              </w:rPr>
            </w:pPr>
            <w:bookmarkStart w:id="93" w:name="MCCQCTEMPBM_00000194"/>
            <w:bookmarkEnd w:id="92"/>
            <w:r w:rsidRPr="001366F7">
              <w:rPr>
                <w:rFonts w:ascii="Times New Roman" w:eastAsia="DengXian" w:hAnsi="Times New Roman" w:cs="Times New Roman"/>
                <w:szCs w:val="20"/>
                <w:lang w:val="en-GB"/>
              </w:rPr>
              <w:t>-</w:t>
            </w:r>
            <w:r w:rsidRPr="001366F7">
              <w:rPr>
                <w:rFonts w:ascii="Times New Roman" w:eastAsia="DengXian" w:hAnsi="Times New Roman" w:cs="Times New Roman"/>
                <w:szCs w:val="20"/>
                <w:lang w:val="en-GB"/>
              </w:rPr>
              <w:tab/>
              <w:t>Option 2: non-contiguous frequency resources across two DL subbands cannot be allocated</w:t>
            </w:r>
          </w:p>
          <w:bookmarkEnd w:id="93"/>
          <w:p w14:paraId="2E99BA60" w14:textId="20EF156D" w:rsidR="001366F7" w:rsidRPr="00BF288B" w:rsidRDefault="001366F7" w:rsidP="00BF288B">
            <w:pPr>
              <w:spacing w:after="180" w:line="240" w:lineRule="auto"/>
              <w:rPr>
                <w:rFonts w:ascii="Times New Roman" w:eastAsia="DengXian" w:hAnsi="Times New Roman" w:cs="Times New Roman"/>
                <w:szCs w:val="20"/>
                <w:lang w:val="en-GB"/>
              </w:rPr>
            </w:pPr>
            <w:r w:rsidRPr="001366F7">
              <w:rPr>
                <w:rFonts w:ascii="Times New Roman" w:eastAsia="DengXian" w:hAnsi="Times New Roman" w:cs="Times New Roman" w:hint="eastAsia"/>
                <w:szCs w:val="20"/>
                <w:lang w:val="en-GB"/>
              </w:rPr>
              <w:t xml:space="preserve">It is agreed that Option 1 can achieve </w:t>
            </w:r>
            <w:r w:rsidRPr="001366F7">
              <w:rPr>
                <w:rFonts w:ascii="Times New Roman" w:eastAsia="DengXian" w:hAnsi="Times New Roman" w:cs="Times New Roman"/>
                <w:szCs w:val="20"/>
                <w:lang w:val="en-GB"/>
              </w:rPr>
              <w:t>better scheduling flexibility and higher DL data rate</w:t>
            </w:r>
            <w:r w:rsidRPr="001366F7">
              <w:rPr>
                <w:rFonts w:ascii="Times New Roman" w:eastAsia="DengXian" w:hAnsi="Times New Roman" w:cs="Times New Roman" w:hint="eastAsia"/>
                <w:szCs w:val="20"/>
                <w:lang w:val="en-GB"/>
              </w:rPr>
              <w:t xml:space="preserve">. Compared with Option 2, Option 1 requires </w:t>
            </w:r>
            <w:r w:rsidRPr="001366F7">
              <w:rPr>
                <w:rFonts w:ascii="Times New Roman" w:eastAsia="DengXian" w:hAnsi="Times New Roman" w:cs="Times New Roman"/>
                <w:szCs w:val="20"/>
                <w:lang w:val="en-GB"/>
              </w:rPr>
              <w:t>UE to handle two non-contiguous segments of contiguous RBs that may increase UE complexity for channel estimation.</w:t>
            </w:r>
          </w:p>
        </w:tc>
      </w:tr>
    </w:tbl>
    <w:p w14:paraId="6590752A" w14:textId="77777777" w:rsidR="001366F7" w:rsidRDefault="001366F7" w:rsidP="004D218A">
      <w:pPr>
        <w:pStyle w:val="BodyText"/>
        <w:rPr>
          <w:lang w:val="en-GB"/>
        </w:rPr>
      </w:pPr>
    </w:p>
    <w:p w14:paraId="60CA8A7E" w14:textId="1C36DE66" w:rsidR="005922B6" w:rsidRPr="005922B6" w:rsidRDefault="005922B6" w:rsidP="005922B6">
      <w:pPr>
        <w:pStyle w:val="BodyText"/>
        <w:rPr>
          <w:lang w:val="en-GB"/>
        </w:rPr>
      </w:pPr>
      <w:r w:rsidRPr="005922B6">
        <w:rPr>
          <w:lang w:val="en-GB"/>
        </w:rPr>
        <w:t xml:space="preserve">For PDSCH transmission in NR, a UE may assume that the same precoding matrix is used across a set of </w:t>
      </w:r>
      <w:r w:rsidR="00F228B4">
        <w:rPr>
          <w:lang w:val="en-GB"/>
        </w:rPr>
        <w:t xml:space="preserve">contiguous allocated </w:t>
      </w:r>
      <w:r w:rsidRPr="005922B6">
        <w:rPr>
          <w:lang w:val="en-GB"/>
        </w:rPr>
        <w:t xml:space="preserve">PRBs denoted </w:t>
      </w:r>
      <w:r>
        <w:rPr>
          <w:lang w:val="en-GB"/>
        </w:rPr>
        <w:t xml:space="preserve">as </w:t>
      </w:r>
      <w:r w:rsidRPr="005922B6">
        <w:rPr>
          <w:lang w:val="en-GB"/>
        </w:rPr>
        <w:t>Precoding Resource Block Group (PRG).</w:t>
      </w:r>
      <w:r>
        <w:rPr>
          <w:lang w:val="en-GB"/>
        </w:rPr>
        <w:t xml:space="preserve"> The size of PRG</w:t>
      </w:r>
      <w:r w:rsidR="00ED137B">
        <w:rPr>
          <w:lang w:val="en-GB"/>
        </w:rPr>
        <w:t xml:space="preserve"> can be </w:t>
      </w:r>
      <w:r w:rsidR="00355269">
        <w:rPr>
          <w:lang w:val="en-GB"/>
        </w:rPr>
        <w:t>2 or 4 PRBs, which</w:t>
      </w:r>
      <w:r>
        <w:rPr>
          <w:lang w:val="en-GB"/>
        </w:rPr>
        <w:t xml:space="preserve"> is </w:t>
      </w:r>
      <w:r w:rsidR="00F228B4">
        <w:rPr>
          <w:lang w:val="en-GB"/>
        </w:rPr>
        <w:t xml:space="preserve">specified in the specification or </w:t>
      </w:r>
      <w:r>
        <w:rPr>
          <w:lang w:val="en-GB"/>
        </w:rPr>
        <w:t xml:space="preserve">indicated in </w:t>
      </w:r>
      <w:r w:rsidR="00F228B4">
        <w:rPr>
          <w:lang w:val="en-GB"/>
        </w:rPr>
        <w:t xml:space="preserve">RRC configuration. </w:t>
      </w:r>
      <w:r w:rsidR="00BD4BAB" w:rsidRPr="005922B6">
        <w:rPr>
          <w:lang w:val="en-GB"/>
        </w:rPr>
        <w:t>The transmitter may use different precoder matrix for different parts of the transmission bandwidth, resulting in frequency selective precoding</w:t>
      </w:r>
      <w:r w:rsidR="00BD4BAB">
        <w:rPr>
          <w:lang w:val="en-GB"/>
        </w:rPr>
        <w:t xml:space="preserve">. </w:t>
      </w:r>
      <w:r>
        <w:rPr>
          <w:lang w:val="en-GB"/>
        </w:rPr>
        <w:t>Alternative</w:t>
      </w:r>
      <w:r w:rsidR="00F228B4">
        <w:rPr>
          <w:lang w:val="en-GB"/>
        </w:rPr>
        <w:t xml:space="preserve">ly, PRG size can be indicated as ‘wideband’ in which case </w:t>
      </w:r>
      <w:r w:rsidR="00F228B4" w:rsidRPr="00F228B4">
        <w:rPr>
          <w:lang w:val="en-GB"/>
        </w:rPr>
        <w:t xml:space="preserve">the UE </w:t>
      </w:r>
      <w:r w:rsidR="00F228B4">
        <w:rPr>
          <w:lang w:val="en-GB"/>
        </w:rPr>
        <w:t>can assume the PRB allocation is contiguous, and the same precoding matrix is used throughout the entire allocation.</w:t>
      </w:r>
    </w:p>
    <w:p w14:paraId="55D96E1A" w14:textId="6F4E262A" w:rsidR="005922B6" w:rsidRDefault="005922B6" w:rsidP="005922B6">
      <w:pPr>
        <w:pStyle w:val="BodyText"/>
        <w:rPr>
          <w:lang w:val="en-GB"/>
        </w:rPr>
      </w:pPr>
      <w:r w:rsidRPr="005922B6">
        <w:rPr>
          <w:lang w:val="en-GB"/>
        </w:rPr>
        <w:t xml:space="preserve">In principle the legacy </w:t>
      </w:r>
      <w:r w:rsidR="00017383">
        <w:rPr>
          <w:lang w:val="en-GB"/>
        </w:rPr>
        <w:t xml:space="preserve">PRG based frequency selective precoding </w:t>
      </w:r>
      <w:r w:rsidRPr="005922B6">
        <w:rPr>
          <w:lang w:val="en-GB"/>
        </w:rPr>
        <w:t xml:space="preserve">concept can be reused for PDSCH transmission in the DL subband(s). </w:t>
      </w:r>
      <w:r w:rsidR="00017383">
        <w:rPr>
          <w:lang w:val="en-GB"/>
        </w:rPr>
        <w:t>With the partitioning of a carrier into multiple DL or UL subbands, the PRG at the edge of the DL subband(s) can overlap with the subband boundary. In this case, the PRBs in the DL PRG inside the DL subband can still be allocated to the UE.</w:t>
      </w:r>
    </w:p>
    <w:p w14:paraId="10B7C8F2" w14:textId="1BE608E8" w:rsidR="00382558" w:rsidRDefault="00382558" w:rsidP="00F4138E">
      <w:pPr>
        <w:pStyle w:val="Proposal"/>
        <w:rPr>
          <w:lang w:val="en-GB"/>
        </w:rPr>
      </w:pPr>
      <w:bookmarkStart w:id="94" w:name="_Toc159244020"/>
      <w:r>
        <w:rPr>
          <w:lang w:val="en-GB"/>
        </w:rPr>
        <w:t>If PRG based precoding is configured for P</w:t>
      </w:r>
      <w:r w:rsidR="00FC3D5E">
        <w:rPr>
          <w:lang w:val="en-GB"/>
        </w:rPr>
        <w:t>DS</w:t>
      </w:r>
      <w:r>
        <w:rPr>
          <w:lang w:val="en-GB"/>
        </w:rPr>
        <w:t xml:space="preserve">CH, for a DL PRG that overlaps with subband boundary, the part of the DL PRB inside the DL subband </w:t>
      </w:r>
      <w:r w:rsidR="00367E36">
        <w:rPr>
          <w:lang w:val="en-GB"/>
        </w:rPr>
        <w:t>can</w:t>
      </w:r>
      <w:r>
        <w:rPr>
          <w:lang w:val="en-GB"/>
        </w:rPr>
        <w:t xml:space="preserve"> be used for PDSCH transmission.</w:t>
      </w:r>
      <w:bookmarkEnd w:id="94"/>
    </w:p>
    <w:p w14:paraId="1270573F" w14:textId="5D31275B" w:rsidR="004D218A" w:rsidRDefault="0020425C" w:rsidP="004D218A">
      <w:pPr>
        <w:pStyle w:val="BodyText"/>
        <w:rPr>
          <w:lang w:val="en-GB"/>
        </w:rPr>
      </w:pPr>
      <w:r>
        <w:rPr>
          <w:lang w:val="en-GB"/>
        </w:rPr>
        <w:t>As mentioned above,</w:t>
      </w:r>
      <w:r w:rsidR="00DA2D7E">
        <w:rPr>
          <w:lang w:val="en-GB"/>
        </w:rPr>
        <w:t xml:space="preserve"> in the current specification</w:t>
      </w:r>
      <w:r>
        <w:rPr>
          <w:lang w:val="en-GB"/>
        </w:rPr>
        <w:t xml:space="preserve"> wideband precoding can be used </w:t>
      </w:r>
      <w:r w:rsidR="00BC4AF4">
        <w:rPr>
          <w:lang w:val="en-GB"/>
        </w:rPr>
        <w:t xml:space="preserve">only </w:t>
      </w:r>
      <w:r w:rsidR="003A3482">
        <w:rPr>
          <w:lang w:val="en-GB"/>
        </w:rPr>
        <w:t>if</w:t>
      </w:r>
      <w:r>
        <w:rPr>
          <w:lang w:val="en-GB"/>
        </w:rPr>
        <w:t xml:space="preserve"> the PRB allocation is </w:t>
      </w:r>
      <w:r w:rsidR="00BC4AF4">
        <w:rPr>
          <w:lang w:val="en-GB"/>
        </w:rPr>
        <w:t xml:space="preserve">contiguous. In SBFD operation with SBFD configuration D-U-D, when PRB allocation is across two DL subbands, we think wideband precoding can still be used within each DL subband, </w:t>
      </w:r>
      <w:proofErr w:type="gramStart"/>
      <w:r w:rsidR="00BC4AF4">
        <w:rPr>
          <w:lang w:val="en-GB"/>
        </w:rPr>
        <w:t>as long as</w:t>
      </w:r>
      <w:proofErr w:type="gramEnd"/>
      <w:r w:rsidR="00BC4AF4">
        <w:rPr>
          <w:lang w:val="en-GB"/>
        </w:rPr>
        <w:t xml:space="preserve"> the PRB allocation in each DL subband is contiguous.</w:t>
      </w:r>
    </w:p>
    <w:p w14:paraId="25E7BAF9" w14:textId="05A4720B" w:rsidR="00F4138E" w:rsidRDefault="00382558" w:rsidP="00F4138E">
      <w:pPr>
        <w:pStyle w:val="Proposal"/>
        <w:rPr>
          <w:lang w:val="en-GB"/>
        </w:rPr>
      </w:pPr>
      <w:bookmarkStart w:id="95" w:name="_Toc159244021"/>
      <w:r>
        <w:rPr>
          <w:lang w:val="en-GB"/>
        </w:rPr>
        <w:lastRenderedPageBreak/>
        <w:t xml:space="preserve">If </w:t>
      </w:r>
      <w:r w:rsidR="00F4138E">
        <w:rPr>
          <w:lang w:val="en-GB"/>
        </w:rPr>
        <w:t xml:space="preserve">wideband precoding </w:t>
      </w:r>
      <w:r>
        <w:rPr>
          <w:lang w:val="en-GB"/>
        </w:rPr>
        <w:t xml:space="preserve">is configured </w:t>
      </w:r>
      <w:r w:rsidR="00F4138E">
        <w:rPr>
          <w:lang w:val="en-GB"/>
        </w:rPr>
        <w:t>for PDSCH, adopt o</w:t>
      </w:r>
      <w:r w:rsidR="00F4138E" w:rsidRPr="00F4138E">
        <w:rPr>
          <w:lang w:val="en-GB"/>
        </w:rPr>
        <w:t xml:space="preserve">ption </w:t>
      </w:r>
      <w:r w:rsidR="00F4138E">
        <w:rPr>
          <w:lang w:val="en-GB"/>
        </w:rPr>
        <w:t>1 in Section 6.1.2 in TR 38.858, i.e.,</w:t>
      </w:r>
      <w:r w:rsidR="00F4138E" w:rsidRPr="00F4138E">
        <w:rPr>
          <w:lang w:val="en-GB"/>
        </w:rPr>
        <w:t xml:space="preserve"> non-contiguous frequency resources across two DL subbands but contiguous frequency resource within each DL subband can be allocated</w:t>
      </w:r>
      <w:r w:rsidR="00F4138E">
        <w:rPr>
          <w:lang w:val="en-GB"/>
        </w:rPr>
        <w:t>.</w:t>
      </w:r>
      <w:bookmarkEnd w:id="95"/>
    </w:p>
    <w:p w14:paraId="320296E0" w14:textId="2267D6A8" w:rsidR="003670F9" w:rsidRDefault="003670F9" w:rsidP="0098513A">
      <w:pPr>
        <w:rPr>
          <w:lang w:val="en-GB" w:eastAsia="ja-JP"/>
        </w:rPr>
      </w:pPr>
    </w:p>
    <w:p w14:paraId="257D4BE7" w14:textId="48B5E721" w:rsidR="00107D05" w:rsidRDefault="00EC1A5A" w:rsidP="00BF288B">
      <w:pPr>
        <w:pStyle w:val="Heading3"/>
      </w:pPr>
      <w:bookmarkStart w:id="96" w:name="_Ref157584652"/>
      <w:r>
        <w:t>3.</w:t>
      </w:r>
      <w:r w:rsidR="009F0D26">
        <w:t>2</w:t>
      </w:r>
      <w:r>
        <w:t>.3</w:t>
      </w:r>
      <w:r>
        <w:tab/>
      </w:r>
      <w:r w:rsidR="00C82118">
        <w:t>Frequency Domain Resource Allocation</w:t>
      </w:r>
      <w:bookmarkEnd w:id="96"/>
    </w:p>
    <w:p w14:paraId="64FDA323" w14:textId="158656B1" w:rsidR="00AE08EB" w:rsidRDefault="00AE08EB" w:rsidP="002A359F">
      <w:pPr>
        <w:pStyle w:val="BodyText"/>
      </w:pPr>
      <w:r>
        <w:t xml:space="preserve">In SBFD operation, a carrier is partitioned into multiple subbands designated for DL or UL transmission. When there are more than one DL subbands in a SBFD carrier, the DL frequency resources (i.e., PRBs) are effectively segmented due to the presence of UL </w:t>
      </w:r>
      <w:proofErr w:type="spellStart"/>
      <w:r>
        <w:t>subbands</w:t>
      </w:r>
      <w:proofErr w:type="spellEnd"/>
      <w:r>
        <w:t xml:space="preserve"> and </w:t>
      </w:r>
      <w:proofErr w:type="spellStart"/>
      <w:r w:rsidR="00827DDB">
        <w:t>guardbands</w:t>
      </w:r>
      <w:proofErr w:type="spellEnd"/>
      <w:r>
        <w:t xml:space="preserve"> between two adjacent DL subbands. To achieve efficient and flexible resource utilization in SBFD operation it is beneficial that PDSCH can support frequency resource allocation across multiple DL subbands, so that a UE can be assigned with as much downlink resources in the carrier as possible, in case of need.</w:t>
      </w:r>
    </w:p>
    <w:p w14:paraId="5AD9AE24" w14:textId="5E9B253E" w:rsidR="00336A3A" w:rsidRDefault="00336A3A" w:rsidP="002A359F">
      <w:pPr>
        <w:pStyle w:val="BodyText"/>
      </w:pPr>
      <w:r>
        <w:t>Current NR specification supports two different DL resource allocation schemes in frequency domain, namely DL Resource Allocation Type 0 and Type 1.</w:t>
      </w:r>
    </w:p>
    <w:p w14:paraId="6D33A50B" w14:textId="593C1108" w:rsidR="00221130" w:rsidRDefault="00221130" w:rsidP="002A359F">
      <w:pPr>
        <w:pStyle w:val="BodyText"/>
      </w:pPr>
      <w:r>
        <w:t xml:space="preserve">For DL Resource Allocation Type 0 the resource block assignment information includes a bitmap indicating the Resource Block Groups (RBGs) that are allocated to the scheduled UE where a RBG is a set of consecutive virtual resource blocks (VRBs). It is clear that DL RA Type 0 already supports non-contiguous resource </w:t>
      </w:r>
      <w:proofErr w:type="gramStart"/>
      <w:r>
        <w:t>allocation,</w:t>
      </w:r>
      <w:proofErr w:type="gramEnd"/>
      <w:r>
        <w:t xml:space="preserve"> therefore it can be directly used for PDSCH frequency resource allocation for UEs in SBFD operation where the allocated PRBs can potentially fall into multiple DL subbands. However, since the dimension of the DL subbands is reduced compared to that of the DL BWP when SBFD is configured, the number of bits used in DCI to indicate the frequency domain resource assignment could be optimized for Release 19 and onwards UEs</w:t>
      </w:r>
      <w:r w:rsidR="00872C64">
        <w:t xml:space="preserve"> in SBFD ope</w:t>
      </w:r>
      <w:r w:rsidR="008A5096">
        <w:t>r</w:t>
      </w:r>
      <w:r w:rsidR="00872C64">
        <w:t>ation</w:t>
      </w:r>
      <w:r>
        <w:t>.</w:t>
      </w:r>
    </w:p>
    <w:p w14:paraId="2BDCF8A0" w14:textId="0D53CA98" w:rsidR="00F96141" w:rsidRDefault="00F96141" w:rsidP="002A359F">
      <w:pPr>
        <w:pStyle w:val="BodyText"/>
      </w:pPr>
      <w:r>
        <w:t xml:space="preserve">For DL Resource Allocation Type 1 the resource block assignment information indicates to a scheduled UE a set of </w:t>
      </w:r>
      <w:r w:rsidR="00C11A3E">
        <w:t xml:space="preserve">contiguous </w:t>
      </w:r>
      <w:r>
        <w:t>non-interleaved or interleaved VRBs within the active bandwidth part. For SBFD operation, DL Resource Allocation Type 1 with non-interleaved VRB-to-PRB mapping implies that a UE can only be assigned with contiguous resources confined within one DL subband. For DL Resource Allocation Type 1 with interleaved VRB-to-PRB mapping it is even not guaranteed that all the indicated VRBs, after interleaving, are mapped to the valid DL PRBs in the DL subbands. Therefore, to be able to allocate PDSCH resource across multiple DL subbands and to avoid indicated VRBs being mapped to PRBs outside the DL subbands after interleaving, DL Resource Allocation Type 1 needs to be enhanced.</w:t>
      </w:r>
    </w:p>
    <w:p w14:paraId="44CBFFE8" w14:textId="498C1ABA" w:rsidR="00C82EF4" w:rsidRPr="00BC47B0" w:rsidRDefault="00C82EF4" w:rsidP="00CC56B6">
      <w:pPr>
        <w:pStyle w:val="Proposal"/>
        <w:numPr>
          <w:ilvl w:val="0"/>
          <w:numId w:val="0"/>
        </w:numPr>
        <w:ind w:left="1304"/>
        <w:rPr>
          <w:lang w:val="en-GB" w:eastAsia="ja-JP"/>
        </w:rPr>
      </w:pPr>
    </w:p>
    <w:p w14:paraId="5D3F9A4F" w14:textId="39875310" w:rsidR="00066D23" w:rsidRDefault="004D678D" w:rsidP="00BF288B">
      <w:pPr>
        <w:pStyle w:val="Heading4"/>
      </w:pPr>
      <w:r>
        <w:t>3.</w:t>
      </w:r>
      <w:r w:rsidR="00E13BBB">
        <w:t>2</w:t>
      </w:r>
      <w:r>
        <w:t>.</w:t>
      </w:r>
      <w:r w:rsidR="005431DB">
        <w:t>3</w:t>
      </w:r>
      <w:r>
        <w:t>.1</w:t>
      </w:r>
      <w:r>
        <w:tab/>
      </w:r>
      <w:r w:rsidR="00066D23">
        <w:t>Enhancements of resource block assignment for DL Resource Allocation Type 0</w:t>
      </w:r>
    </w:p>
    <w:p w14:paraId="225DDC67" w14:textId="6B50B6E8" w:rsidR="009A7FB9" w:rsidRDefault="007E5AA6" w:rsidP="009B024B">
      <w:pPr>
        <w:pStyle w:val="BodyText"/>
      </w:pPr>
      <w:r>
        <w:t xml:space="preserve">For DL Resource Allocation Type 0, the resource block assignment includes a bitmap indicating the RBGs that are allocated to the scheduled UE where a RBG is a set of consecutive VRBs. </w:t>
      </w:r>
    </w:p>
    <w:p w14:paraId="62FA8FEB" w14:textId="3E627668" w:rsidR="009A7FB9" w:rsidRDefault="00A7788A" w:rsidP="009B024B">
      <w:pPr>
        <w:pStyle w:val="BodyText"/>
      </w:pPr>
      <w:r>
        <w:t>According to the</w:t>
      </w:r>
      <w:r w:rsidR="00B759CB">
        <w:t xml:space="preserve"> current specifications, t</w:t>
      </w:r>
      <w:r w:rsidR="009A7FB9">
        <w:t xml:space="preserve">he size of the RBG allocation bitmap, </w:t>
      </w:r>
      <w:r w:rsidR="009A7FB9" w:rsidRPr="00136E83">
        <w:rPr>
          <w:i/>
        </w:rPr>
        <w:t>N</w:t>
      </w:r>
      <w:r w:rsidR="009A7FB9" w:rsidRPr="00136E83">
        <w:rPr>
          <w:i/>
          <w:vertAlign w:val="subscript"/>
        </w:rPr>
        <w:t>RBG</w:t>
      </w:r>
      <w:r w:rsidR="009A7FB9">
        <w:t xml:space="preserve">, is given by the downlink bandwidth part (DL BWP) size in VRBs and the number of VRBs per RBG, so that all RBGs in the DL BWP are addressable, including those that completely fall into the UL </w:t>
      </w:r>
      <w:proofErr w:type="spellStart"/>
      <w:r w:rsidR="009A7FB9">
        <w:t>subbands</w:t>
      </w:r>
      <w:proofErr w:type="spellEnd"/>
      <w:r w:rsidR="009A7FB9">
        <w:t xml:space="preserve"> and the </w:t>
      </w:r>
      <w:proofErr w:type="spellStart"/>
      <w:r w:rsidR="00827DDB">
        <w:t>guardbands</w:t>
      </w:r>
      <w:proofErr w:type="spellEnd"/>
      <w:r w:rsidR="009A7FB9">
        <w:t xml:space="preserve"> according to the SBFD configuration.</w:t>
      </w:r>
      <w:r w:rsidR="009A07F6">
        <w:t xml:space="preserve"> The BS may then simply not allocate in the bitmap the RBGs in the invalid positions to any UE. In this case the VRB to PRB mapping rule specified in Rel-15 (non-interleaving mapping) can be reused in transparent manner to </w:t>
      </w:r>
      <w:r w:rsidR="00C1378C">
        <w:t>the legacy</w:t>
      </w:r>
      <w:r w:rsidR="009A07F6">
        <w:t xml:space="preserve"> UEs.</w:t>
      </w:r>
    </w:p>
    <w:p w14:paraId="4B242744" w14:textId="00AB874A" w:rsidR="007E5AA6" w:rsidRDefault="00E207E3" w:rsidP="009B024B">
      <w:pPr>
        <w:pStyle w:val="BodyText"/>
      </w:pPr>
      <w:r>
        <w:t xml:space="preserve">However, </w:t>
      </w:r>
      <w:r w:rsidR="00015B28">
        <w:t xml:space="preserve">since </w:t>
      </w:r>
      <w:r>
        <w:t>i</w:t>
      </w:r>
      <w:r w:rsidR="007E5AA6">
        <w:t xml:space="preserve">n SBFD operation, not all VRBs </w:t>
      </w:r>
      <w:r w:rsidR="009C6C59">
        <w:t xml:space="preserve">in the VRB space </w:t>
      </w:r>
      <w:r w:rsidR="007E5AA6">
        <w:t xml:space="preserve">defined in the downlink bandwidth part can be allocated for DL transmission, </w:t>
      </w:r>
      <w:r w:rsidR="00015B28">
        <w:t xml:space="preserve">in </w:t>
      </w:r>
      <w:r w:rsidR="007E5AA6">
        <w:t xml:space="preserve">the current resource block assignment mechanism for DL Resource Allocation Type 0 </w:t>
      </w:r>
      <w:r w:rsidR="00015B28">
        <w:t>there is room for enhancements</w:t>
      </w:r>
      <w:r w:rsidR="007E5AA6">
        <w:t xml:space="preserve"> for Release 19 and onwards UEs, so that the number of bits in DCI for the indication of the Frequency Domain Resource Assignment is optimized.</w:t>
      </w:r>
      <w:r w:rsidR="00E87E21">
        <w:t xml:space="preserve"> </w:t>
      </w:r>
      <w:r w:rsidR="00036649">
        <w:t>This can be done at least for UE specific Search Spaces (USS) for which the configuration is UE specific.</w:t>
      </w:r>
    </w:p>
    <w:p w14:paraId="5A5B3481" w14:textId="1B094FCD" w:rsidR="00860D20" w:rsidRDefault="002B0507" w:rsidP="007B5FE0">
      <w:pPr>
        <w:pStyle w:val="BodyText"/>
      </w:pPr>
      <w:r>
        <w:t>On</w:t>
      </w:r>
      <w:r w:rsidR="00CA2F55">
        <w:t>e</w:t>
      </w:r>
      <w:r>
        <w:t xml:space="preserve"> option of enhancement is that</w:t>
      </w:r>
      <w:r w:rsidR="00470ECE">
        <w:t xml:space="preserve"> </w:t>
      </w:r>
      <w:r w:rsidR="00470ECE" w:rsidRPr="00DE2EC9">
        <w:rPr>
          <w:i/>
        </w:rPr>
        <w:t>N</w:t>
      </w:r>
      <w:r w:rsidR="00470ECE" w:rsidRPr="00DE2EC9">
        <w:rPr>
          <w:i/>
          <w:vertAlign w:val="subscript"/>
        </w:rPr>
        <w:t>RBG</w:t>
      </w:r>
      <w:r w:rsidR="00470ECE">
        <w:t xml:space="preserve"> is </w:t>
      </w:r>
      <w:r w:rsidR="00CA2F55">
        <w:t xml:space="preserve">defined as </w:t>
      </w:r>
      <w:r w:rsidR="00470ECE">
        <w:t xml:space="preserve">the number of RBGs in the DL subbands in the downlink bandwidth part, excluding the RBGs that completely fall into the UL subband(s) and the guard bands according to the SBFD configuration. </w:t>
      </w:r>
      <w:r w:rsidR="00D15B43">
        <w:t xml:space="preserve">A UE in SBFD operation can, based on the previously received SBFD configuration, identify the mapping of an allocated VRB in </w:t>
      </w:r>
      <w:r w:rsidR="009E5CB3">
        <w:t xml:space="preserve">a </w:t>
      </w:r>
      <w:r w:rsidR="00D15B43">
        <w:t>DL subband to the corresponding PRB</w:t>
      </w:r>
      <w:r w:rsidR="003311F9">
        <w:rPr>
          <w:vertAlign w:val="subscript"/>
        </w:rPr>
        <w:t>.</w:t>
      </w:r>
      <w:r w:rsidR="00E83A18">
        <w:rPr>
          <w:vertAlign w:val="subscript"/>
        </w:rPr>
        <w:t xml:space="preserve"> </w:t>
      </w:r>
      <w:r w:rsidR="00E83A18">
        <w:t xml:space="preserve">For example, assuming </w:t>
      </w:r>
      <w:r w:rsidR="00E83A18">
        <w:lastRenderedPageBreak/>
        <w:t xml:space="preserve">in a </w:t>
      </w:r>
      <w:r w:rsidR="00CB3AAA">
        <w:t>DL BWP</w:t>
      </w:r>
      <w:r w:rsidR="00E83A18">
        <w:t xml:space="preserve"> of 272 VRBs, RA Type 0 with RBG size 16, and </w:t>
      </w:r>
      <w:r w:rsidR="003F1B26">
        <w:t>D-U-D</w:t>
      </w:r>
      <w:r w:rsidR="00E83A18">
        <w:t xml:space="preserve"> SBFD configuration 10</w:t>
      </w:r>
      <w:r w:rsidR="003F1B26">
        <w:t>8</w:t>
      </w:r>
      <w:r w:rsidR="00E83A18">
        <w:t>-</w:t>
      </w:r>
      <w:r w:rsidR="003F1B26">
        <w:t>4</w:t>
      </w:r>
      <w:r w:rsidR="00E83A18">
        <w:t>-48-</w:t>
      </w:r>
      <w:r w:rsidR="003F1B26">
        <w:t>4-</w:t>
      </w:r>
      <w:r w:rsidR="00E83A18">
        <w:t>108 (</w:t>
      </w:r>
      <w:r w:rsidR="003F1B26">
        <w:t xml:space="preserve">in </w:t>
      </w:r>
      <w:r w:rsidR="00E83A18">
        <w:t xml:space="preserve">RBs) this optimization can reduce the FDRA </w:t>
      </w:r>
      <w:r w:rsidR="00913CBA">
        <w:t xml:space="preserve">field in the DCI by </w:t>
      </w:r>
      <w:r w:rsidR="00E83A18">
        <w:t>3 bits</w:t>
      </w:r>
      <w:r w:rsidR="00913CBA">
        <w:t>.</w:t>
      </w:r>
    </w:p>
    <w:p w14:paraId="568BBEAB" w14:textId="586B40A2" w:rsidR="00242E3B" w:rsidRDefault="00242E3B" w:rsidP="00242E3B">
      <w:pPr>
        <w:pStyle w:val="Proposal"/>
        <w:numPr>
          <w:ilvl w:val="0"/>
          <w:numId w:val="47"/>
        </w:numPr>
        <w:rPr>
          <w:lang w:val="en-GB" w:eastAsia="ja-JP"/>
        </w:rPr>
      </w:pPr>
      <w:bookmarkStart w:id="97" w:name="_Toc159244022"/>
      <w:r>
        <w:rPr>
          <w:lang w:val="en-GB"/>
        </w:rPr>
        <w:t xml:space="preserve">Enhance </w:t>
      </w:r>
      <w:r>
        <w:t>DL Resource Allocation Type 0 for SBFD operation s</w:t>
      </w:r>
      <w:r w:rsidR="006677FB">
        <w:t>uch</w:t>
      </w:r>
      <w:r>
        <w:t xml:space="preserve"> that the frequency domain resource assignment field in DCI is backward compatible for Release 18 and older UEs and optimized for Release 19 and onwards UEs.</w:t>
      </w:r>
      <w:bookmarkEnd w:id="97"/>
    </w:p>
    <w:p w14:paraId="280BA1F8" w14:textId="77777777" w:rsidR="006168DB" w:rsidRPr="00CC56B6" w:rsidRDefault="006168DB" w:rsidP="00907D4F">
      <w:pPr>
        <w:pStyle w:val="BodyText"/>
        <w:rPr>
          <w:lang w:val="en-GB"/>
        </w:rPr>
      </w:pPr>
    </w:p>
    <w:p w14:paraId="6D01FA1E" w14:textId="2CB187C9" w:rsidR="003E6A19" w:rsidRPr="009200C4" w:rsidRDefault="00142049" w:rsidP="00BF288B">
      <w:pPr>
        <w:pStyle w:val="Heading4"/>
      </w:pPr>
      <w:r>
        <w:t>3.</w:t>
      </w:r>
      <w:r w:rsidR="000D0103">
        <w:t>2</w:t>
      </w:r>
      <w:r>
        <w:t>.</w:t>
      </w:r>
      <w:r w:rsidR="00BC2617">
        <w:t>3</w:t>
      </w:r>
      <w:r>
        <w:t>.</w:t>
      </w:r>
      <w:r w:rsidR="003A3C7D">
        <w:t>2</w:t>
      </w:r>
      <w:r>
        <w:tab/>
      </w:r>
      <w:r w:rsidR="003E6A19" w:rsidRPr="009200C4">
        <w:t xml:space="preserve">Enhancements of </w:t>
      </w:r>
      <w:r w:rsidR="003E6A19">
        <w:t>non-</w:t>
      </w:r>
      <w:r w:rsidR="003E6A19" w:rsidRPr="007241D3">
        <w:t>interleaved VRB-to-PRB mapping</w:t>
      </w:r>
      <w:r w:rsidR="003E6A19">
        <w:t xml:space="preserve"> for </w:t>
      </w:r>
      <w:r w:rsidR="003E6A19" w:rsidRPr="009200C4">
        <w:t>DL Resource Allocation Type 1</w:t>
      </w:r>
    </w:p>
    <w:p w14:paraId="6F92ACCE" w14:textId="61944003" w:rsidR="008F381A" w:rsidRDefault="00A249C0" w:rsidP="00907D4F">
      <w:pPr>
        <w:pStyle w:val="BodyText"/>
      </w:pPr>
      <w:r>
        <w:t>For Resource Allocation Type 1 with</w:t>
      </w:r>
      <w:r w:rsidR="00A26461">
        <w:t xml:space="preserve"> interleaved VRB-to-PRB mapping disabled, </w:t>
      </w:r>
      <w:r w:rsidR="00C71AF9">
        <w:t>for Release 18 and older UEs</w:t>
      </w:r>
      <w:r w:rsidR="002156B5">
        <w:t>, resources allocation a</w:t>
      </w:r>
      <w:r w:rsidR="00F23095">
        <w:t xml:space="preserve">cross multiple DL </w:t>
      </w:r>
      <w:proofErr w:type="spellStart"/>
      <w:r w:rsidR="00F23095">
        <w:t>subbands</w:t>
      </w:r>
      <w:proofErr w:type="spellEnd"/>
      <w:r w:rsidR="00F23095">
        <w:t xml:space="preserve"> </w:t>
      </w:r>
      <w:proofErr w:type="spellStart"/>
      <w:r w:rsidR="00F04A1E">
        <w:t>can</w:t>
      </w:r>
      <w:r w:rsidR="00F23095">
        <w:t xml:space="preserve"> not</w:t>
      </w:r>
      <w:proofErr w:type="spellEnd"/>
      <w:r w:rsidR="00F23095">
        <w:t xml:space="preserve"> </w:t>
      </w:r>
      <w:r>
        <w:t xml:space="preserve">be </w:t>
      </w:r>
      <w:r w:rsidR="00F23095">
        <w:t>supported</w:t>
      </w:r>
      <w:r w:rsidR="008F381A">
        <w:t xml:space="preserve">. </w:t>
      </w:r>
      <w:r w:rsidR="00715A8C">
        <w:t xml:space="preserve">For Release 19 and onwards UEs, </w:t>
      </w:r>
      <w:r w:rsidR="00C44BB9">
        <w:t>r</w:t>
      </w:r>
      <w:r w:rsidR="00333D70">
        <w:t xml:space="preserve">esource allocation Type 1 can be extended </w:t>
      </w:r>
      <w:r w:rsidR="006B2C79">
        <w:t xml:space="preserve">for example </w:t>
      </w:r>
      <w:r w:rsidR="0083686A">
        <w:t xml:space="preserve">with </w:t>
      </w:r>
      <w:r w:rsidR="002748CE">
        <w:t xml:space="preserve">one of the </w:t>
      </w:r>
      <w:r w:rsidR="0083686A">
        <w:t xml:space="preserve">following </w:t>
      </w:r>
      <w:r w:rsidR="00BE31C3">
        <w:t>alternatives</w:t>
      </w:r>
      <w:r w:rsidR="0083686A">
        <w:t>:</w:t>
      </w:r>
    </w:p>
    <w:p w14:paraId="79A54450" w14:textId="0F688D4F" w:rsidR="00A26461" w:rsidRDefault="00BE31C3" w:rsidP="00907D4F">
      <w:pPr>
        <w:pStyle w:val="BodyText"/>
        <w:rPr>
          <w:rStyle w:val="ui-provider"/>
        </w:rPr>
      </w:pPr>
      <w:r>
        <w:rPr>
          <w:b/>
        </w:rPr>
        <w:t>Alternative</w:t>
      </w:r>
      <w:r w:rsidR="00A26461" w:rsidRPr="009B1219">
        <w:rPr>
          <w:b/>
        </w:rPr>
        <w:t xml:space="preserve"> </w:t>
      </w:r>
      <w:r w:rsidR="0083686A" w:rsidRPr="009B1219">
        <w:rPr>
          <w:b/>
        </w:rPr>
        <w:t>1</w:t>
      </w:r>
      <w:r w:rsidR="00A26461">
        <w:t xml:space="preserve">: For DL Resource Allocation Type 1 the </w:t>
      </w:r>
      <w:r w:rsidR="00A26461">
        <w:rPr>
          <w:rStyle w:val="ui-provider"/>
        </w:rPr>
        <w:t>resource allocation indicates through RIV</w:t>
      </w:r>
      <w:r w:rsidR="00086B13">
        <w:rPr>
          <w:rStyle w:val="ui-provider"/>
        </w:rPr>
        <w:t xml:space="preserve"> (resource indication value)</w:t>
      </w:r>
      <w:r w:rsidR="00A26461">
        <w:rPr>
          <w:rStyle w:val="ui-provider"/>
        </w:rPr>
        <w:t xml:space="preserve"> a range of consecutive VRBs, which can span one or more DL subbands, and some of which can fall into UL </w:t>
      </w:r>
      <w:proofErr w:type="spellStart"/>
      <w:r w:rsidR="00A26461">
        <w:rPr>
          <w:rStyle w:val="ui-provider"/>
        </w:rPr>
        <w:t>subband</w:t>
      </w:r>
      <w:proofErr w:type="spellEnd"/>
      <w:r w:rsidR="00A26461">
        <w:rPr>
          <w:rStyle w:val="ui-provider"/>
        </w:rPr>
        <w:t xml:space="preserve"> or </w:t>
      </w:r>
      <w:proofErr w:type="spellStart"/>
      <w:r w:rsidR="00827DDB">
        <w:rPr>
          <w:rStyle w:val="ui-provider"/>
        </w:rPr>
        <w:t>guardbands</w:t>
      </w:r>
      <w:proofErr w:type="spellEnd"/>
      <w:r w:rsidR="00A26461">
        <w:rPr>
          <w:rStyle w:val="ui-provider"/>
        </w:rPr>
        <w:t xml:space="preserve">. A Release 19 and onwards UE, if previously provided with SBFD subband configuration, understands that VRBs falling into the UL </w:t>
      </w:r>
      <w:proofErr w:type="spellStart"/>
      <w:r w:rsidR="00A26461">
        <w:rPr>
          <w:rStyle w:val="ui-provider"/>
        </w:rPr>
        <w:t>subband</w:t>
      </w:r>
      <w:proofErr w:type="spellEnd"/>
      <w:r w:rsidR="00A26461">
        <w:rPr>
          <w:rStyle w:val="ui-provider"/>
        </w:rPr>
        <w:t xml:space="preserve"> or </w:t>
      </w:r>
      <w:proofErr w:type="spellStart"/>
      <w:r w:rsidR="00827DDB">
        <w:rPr>
          <w:rStyle w:val="ui-provider"/>
        </w:rPr>
        <w:t>guardbands</w:t>
      </w:r>
      <w:proofErr w:type="spellEnd"/>
      <w:r w:rsidR="00A26461">
        <w:rPr>
          <w:rStyle w:val="ui-provider"/>
        </w:rPr>
        <w:t>, are to be considered as invalid and not used for PDSCH data mapping.</w:t>
      </w:r>
    </w:p>
    <w:p w14:paraId="428B3A48" w14:textId="537332D8" w:rsidR="00E02286" w:rsidRDefault="00E02286" w:rsidP="00907D4F">
      <w:pPr>
        <w:pStyle w:val="BodyText"/>
        <w:rPr>
          <w:rFonts w:eastAsiaTheme="minorEastAsia"/>
        </w:rPr>
      </w:pPr>
      <w:r>
        <w:t xml:space="preserve">For example, let’s assume a DL BWP consisting of 272 RBs, of which 216 are allocated to 2 DL subbands, 48 to an UL subband and 8 to </w:t>
      </w:r>
      <w:proofErr w:type="spellStart"/>
      <w:r w:rsidR="00827DDB">
        <w:t>guardbands</w:t>
      </w:r>
      <w:proofErr w:type="spellEnd"/>
      <w:r>
        <w:t>, following a D-U-D SBFD configuration: 108-4-48-4-108 (in RBs).</w:t>
      </w:r>
      <w:r w:rsidDel="00194EE1">
        <w:t xml:space="preserve"> </w:t>
      </w:r>
      <w:r>
        <w:rPr>
          <w:rFonts w:eastAsiaTheme="minorEastAsia"/>
        </w:rPr>
        <w:t xml:space="preserve">In this example let’s assume </w:t>
      </w:r>
      <w:r>
        <w:t>Resource Allocation Type 1 is configured and the</w:t>
      </w:r>
      <w:r>
        <w:rPr>
          <w:rFonts w:eastAsiaTheme="minorEastAsia"/>
        </w:rPr>
        <w:t xml:space="preserve"> RIV indicates a set of contiguous non-interleaved VRB with start VRB 0 and a length of 192 VRBs in a DL BWP of size 272 VRBs (Notice that in this option, </w:t>
      </w:r>
      <w:r>
        <w:rPr>
          <w:rStyle w:val="ui-provider"/>
        </w:rPr>
        <w:t xml:space="preserve">the DL BWP size and the VRB space include the UL </w:t>
      </w:r>
      <w:proofErr w:type="spellStart"/>
      <w:r>
        <w:rPr>
          <w:rStyle w:val="ui-provider"/>
        </w:rPr>
        <w:t>subband</w:t>
      </w:r>
      <w:proofErr w:type="spellEnd"/>
      <w:r>
        <w:rPr>
          <w:rStyle w:val="ui-provider"/>
        </w:rPr>
        <w:t xml:space="preserve"> and </w:t>
      </w:r>
      <w:proofErr w:type="spellStart"/>
      <w:r w:rsidR="00827DDB">
        <w:rPr>
          <w:rStyle w:val="ui-provider"/>
        </w:rPr>
        <w:t>guardbands</w:t>
      </w:r>
      <w:proofErr w:type="spellEnd"/>
      <w:r>
        <w:rPr>
          <w:rStyle w:val="ui-provider"/>
        </w:rPr>
        <w:t>)</w:t>
      </w:r>
      <w:r>
        <w:rPr>
          <w:rFonts w:eastAsiaTheme="minorEastAsia"/>
        </w:rPr>
        <w:t xml:space="preserve">. Receiving this RIV and being aware of the SBFD configuration, the UE can derive that PDSCH is mapped to PRBs 0, …, 107, 164, …, 191. VRBs from 108 to 163 fall into the UL </w:t>
      </w:r>
      <w:proofErr w:type="spellStart"/>
      <w:r>
        <w:rPr>
          <w:rFonts w:eastAsiaTheme="minorEastAsia"/>
        </w:rPr>
        <w:t>subband</w:t>
      </w:r>
      <w:proofErr w:type="spellEnd"/>
      <w:r>
        <w:rPr>
          <w:rFonts w:eastAsiaTheme="minorEastAsia"/>
        </w:rPr>
        <w:t xml:space="preserve"> and the </w:t>
      </w:r>
      <w:proofErr w:type="spellStart"/>
      <w:r w:rsidR="00827DDB">
        <w:rPr>
          <w:rFonts w:eastAsiaTheme="minorEastAsia"/>
        </w:rPr>
        <w:t>guardbands</w:t>
      </w:r>
      <w:proofErr w:type="spellEnd"/>
      <w:r>
        <w:rPr>
          <w:rFonts w:eastAsiaTheme="minorEastAsia"/>
        </w:rPr>
        <w:t xml:space="preserve"> according to the SBFD configuration and are therefore considered as invalid.</w:t>
      </w:r>
    </w:p>
    <w:p w14:paraId="7247C594" w14:textId="77777777" w:rsidR="00E02286" w:rsidRDefault="00E02286" w:rsidP="00E02286">
      <w:pPr>
        <w:rPr>
          <w:rFonts w:eastAsiaTheme="minorEastAsia"/>
        </w:rPr>
      </w:pPr>
    </w:p>
    <w:p w14:paraId="6C9E0473" w14:textId="38F5E0BE" w:rsidR="00612FB5" w:rsidRDefault="00534990" w:rsidP="00404564">
      <w:pPr>
        <w:keepNext/>
        <w:jc w:val="center"/>
      </w:pPr>
      <w:r>
        <w:rPr>
          <w:noProof/>
        </w:rPr>
        <w:drawing>
          <wp:inline distT="0" distB="0" distL="0" distR="0" wp14:anchorId="65CECB27" wp14:editId="658B2C01">
            <wp:extent cx="5068507" cy="1079686"/>
            <wp:effectExtent l="0" t="0" r="0" b="6350"/>
            <wp:docPr id="163637043" name="Picture 163637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7085" cy="1092164"/>
                    </a:xfrm>
                    <a:prstGeom prst="rect">
                      <a:avLst/>
                    </a:prstGeom>
                    <a:noFill/>
                  </pic:spPr>
                </pic:pic>
              </a:graphicData>
            </a:graphic>
          </wp:inline>
        </w:drawing>
      </w:r>
    </w:p>
    <w:p w14:paraId="4673AE69" w14:textId="2A82A820" w:rsidR="00E02286" w:rsidRDefault="00612FB5" w:rsidP="00404564">
      <w:pPr>
        <w:pStyle w:val="Caption"/>
        <w:jc w:val="center"/>
        <w:rPr>
          <w:rFonts w:eastAsiaTheme="minorEastAsia"/>
        </w:rPr>
      </w:pPr>
      <w:r>
        <w:t xml:space="preserve">Figure </w:t>
      </w:r>
      <w:r>
        <w:fldChar w:fldCharType="begin"/>
      </w:r>
      <w:r>
        <w:instrText xml:space="preserve"> SEQ Figure \* ARABIC </w:instrText>
      </w:r>
      <w:r>
        <w:fldChar w:fldCharType="separate"/>
      </w:r>
      <w:r w:rsidR="00D32653">
        <w:rPr>
          <w:noProof/>
        </w:rPr>
        <w:t>8</w:t>
      </w:r>
      <w:r>
        <w:fldChar w:fldCharType="end"/>
      </w:r>
      <w:r>
        <w:t xml:space="preserve"> </w:t>
      </w:r>
      <w:r w:rsidRPr="00623251">
        <w:t>Example of improvement for non-contiguous Type 1 Resource Allocation (</w:t>
      </w:r>
      <w:r w:rsidR="00FE2658">
        <w:t>Alternative</w:t>
      </w:r>
      <w:r w:rsidRPr="00623251">
        <w:t xml:space="preserve"> </w:t>
      </w:r>
      <w:r w:rsidR="00713CAE">
        <w:t>1</w:t>
      </w:r>
      <w:r w:rsidRPr="00623251">
        <w:t>)</w:t>
      </w:r>
    </w:p>
    <w:p w14:paraId="5CE18797" w14:textId="11E8FB33" w:rsidR="004F50E6" w:rsidRDefault="00CF61DC" w:rsidP="00907D4F">
      <w:pPr>
        <w:pStyle w:val="BodyText"/>
      </w:pPr>
      <w:r>
        <w:rPr>
          <w:rFonts w:eastAsiaTheme="minorEastAsia"/>
          <w:b/>
        </w:rPr>
        <w:t>Alternative</w:t>
      </w:r>
      <w:r w:rsidR="004F50E6" w:rsidRPr="00F97666">
        <w:rPr>
          <w:rFonts w:eastAsiaTheme="minorEastAsia"/>
          <w:b/>
        </w:rPr>
        <w:t xml:space="preserve"> </w:t>
      </w:r>
      <w:r w:rsidR="0083686A" w:rsidRPr="00F97666">
        <w:rPr>
          <w:rFonts w:eastAsiaTheme="minorEastAsia"/>
          <w:b/>
        </w:rPr>
        <w:t>2</w:t>
      </w:r>
      <w:r w:rsidR="004F50E6">
        <w:rPr>
          <w:rFonts w:eastAsiaTheme="minorEastAsia"/>
        </w:rPr>
        <w:t xml:space="preserve">: </w:t>
      </w:r>
      <w:r w:rsidR="004F50E6">
        <w:t>DL Resource Allocation Type 1 can be improved so that resource allocation indicates through RIV</w:t>
      </w:r>
      <w:r w:rsidR="00396E83">
        <w:t xml:space="preserve"> </w:t>
      </w:r>
      <w:r w:rsidR="004F50E6">
        <w:t xml:space="preserve">a range of contiguous VRBs, </w:t>
      </w:r>
      <w:r w:rsidR="004F50E6">
        <w:rPr>
          <w:rStyle w:val="ui-provider"/>
        </w:rPr>
        <w:t>which can span one or more DL subbands</w:t>
      </w:r>
      <w:r w:rsidR="004F50E6">
        <w:t>. When receiving this indication, the Release 19 or onwards UE should be able to map the VRBs to PRBs, starting from the indicated VRB. If the</w:t>
      </w:r>
      <w:r w:rsidR="004F50E6" w:rsidDel="00FE1352">
        <w:t xml:space="preserve"> </w:t>
      </w:r>
      <w:r w:rsidR="004F50E6">
        <w:t>contiguous VRBs are more than those that can be contained in the first DL subband, the UE, if previously provided with SBFD subband configuration, should understand that the remaining VRBs are mapped to the next DL subband and apply a block-shift equivalent to the size of the UL subband and the guard bands in-between the DL subbands</w:t>
      </w:r>
      <w:r w:rsidR="006E083F">
        <w:t>,</w:t>
      </w:r>
      <w:r w:rsidR="004F50E6">
        <w:t xml:space="preserve"> </w:t>
      </w:r>
      <w:r w:rsidR="006E083F">
        <w:t>i</w:t>
      </w:r>
      <w:r w:rsidR="004F50E6">
        <w:t xml:space="preserve">.e. for VRBs in DL subband 1, the mapping is </w:t>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VRB</m:t>
            </m:r>
          </m:e>
          <m:sub>
            <m:r>
              <w:rPr>
                <w:rFonts w:ascii="Cambria Math" w:hAnsi="Cambria Math"/>
              </w:rPr>
              <m:t>n</m:t>
            </m:r>
          </m:sub>
        </m:sSub>
      </m:oMath>
      <w:r w:rsidR="004F50E6">
        <w:t xml:space="preserve"> ; for VRBs in DL subband 2, the mapping is </w:t>
      </w:r>
      <m:oMath>
        <m:sSub>
          <m:sSubPr>
            <m:ctrlPr>
              <w:rPr>
                <w:rFonts w:ascii="Cambria Math" w:hAnsi="Cambria Math"/>
                <w:i/>
              </w:rPr>
            </m:ctrlPr>
          </m:sSubPr>
          <m:e>
            <m:r>
              <w:rPr>
                <w:rFonts w:ascii="Cambria Math" w:hAnsi="Cambria Math"/>
              </w:rPr>
              <m:t>PRB</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VRB</m:t>
            </m:r>
          </m:e>
          <m:sub>
            <m:r>
              <w:rPr>
                <w:rFonts w:ascii="Cambria Math" w:hAnsi="Cambria Math"/>
              </w:rPr>
              <m:t>n</m:t>
            </m:r>
          </m:sub>
        </m:sSub>
        <m:r>
          <w:rPr>
            <w:rFonts w:ascii="Cambria Math" w:hAnsi="Cambria Math"/>
          </w:rPr>
          <m:t>+G</m:t>
        </m:r>
      </m:oMath>
      <w:r w:rsidR="004F50E6">
        <w:rPr>
          <w:rFonts w:eastAsiaTheme="minorEastAsia"/>
        </w:rPr>
        <w:t xml:space="preserve">, </w:t>
      </w:r>
      <w:r w:rsidR="004F50E6">
        <w:t xml:space="preserve">where </w:t>
      </w:r>
      <m:oMath>
        <m:r>
          <w:rPr>
            <w:rFonts w:ascii="Cambria Math" w:hAnsi="Cambria Math"/>
          </w:rPr>
          <m:t>G=</m:t>
        </m:r>
        <m:sSubSup>
          <m:sSubSupPr>
            <m:ctrlPr>
              <w:rPr>
                <w:rFonts w:ascii="Cambria Math" w:hAnsi="Cambria Math"/>
                <w:i/>
              </w:rPr>
            </m:ctrlPr>
          </m:sSubSupPr>
          <m:e>
            <m:r>
              <w:rPr>
                <w:rFonts w:ascii="Cambria Math" w:hAnsi="Cambria Math"/>
              </w:rPr>
              <m:t>N</m:t>
            </m:r>
          </m:e>
          <m:sub>
            <m:r>
              <w:rPr>
                <w:rFonts w:ascii="Cambria Math" w:hAnsi="Cambria Math"/>
              </w:rPr>
              <m:t>BWP,i,ULsb</m:t>
            </m:r>
          </m:sub>
          <m:sup>
            <m:r>
              <w:rPr>
                <w:rFonts w:ascii="Cambria Math" w:hAnsi="Cambria Math"/>
              </w:rPr>
              <m:t>size</m:t>
            </m:r>
          </m:sup>
        </m:sSubSup>
      </m:oMath>
      <w:r w:rsidR="004F50E6" w:rsidRPr="00776D6E">
        <w:rPr>
          <w:rFonts w:eastAsiaTheme="minorEastAsia"/>
        </w:rPr>
        <w:t>+</w:t>
      </w:r>
      <m:oMath>
        <m:sSubSup>
          <m:sSubSupPr>
            <m:ctrlPr>
              <w:rPr>
                <w:rFonts w:ascii="Cambria Math" w:eastAsiaTheme="minorEastAsia" w:hAnsi="Cambria Math"/>
                <w:i/>
              </w:rPr>
            </m:ctrlPr>
          </m:sSubSupPr>
          <m:e>
            <m:r>
              <w:rPr>
                <w:rFonts w:ascii="Cambria Math" w:eastAsiaTheme="minorEastAsia" w:hAnsi="Cambria Math"/>
              </w:rPr>
              <m:t>2∙N</m:t>
            </m:r>
          </m:e>
          <m:sub>
            <m:r>
              <w:rPr>
                <w:rFonts w:ascii="Cambria Math" w:eastAsiaTheme="minorEastAsia" w:hAnsi="Cambria Math"/>
              </w:rPr>
              <m:t>GB</m:t>
            </m:r>
          </m:sub>
          <m:sup>
            <m:r>
              <w:rPr>
                <w:rFonts w:ascii="Cambria Math" w:eastAsiaTheme="minorEastAsia" w:hAnsi="Cambria Math"/>
              </w:rPr>
              <m:t>size</m:t>
            </m:r>
          </m:sup>
        </m:sSubSup>
      </m:oMath>
      <w:r w:rsidR="004F50E6">
        <w:t xml:space="preserve"> , </w:t>
      </w:r>
      <w:r w:rsidR="004F50E6" w:rsidRPr="00776D6E">
        <w:rPr>
          <w:rFonts w:eastAsiaTheme="minorEastAsia"/>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GB</m:t>
            </m:r>
          </m:sub>
          <m:sup>
            <m:r>
              <w:rPr>
                <w:rFonts w:ascii="Cambria Math" w:eastAsiaTheme="minorEastAsia" w:hAnsi="Cambria Math"/>
              </w:rPr>
              <m:t>size</m:t>
            </m:r>
          </m:sup>
        </m:sSubSup>
      </m:oMath>
      <w:r w:rsidR="004F50E6" w:rsidRPr="00776D6E">
        <w:rPr>
          <w:rFonts w:eastAsiaTheme="minorEastAsia"/>
        </w:rPr>
        <w:t xml:space="preserve"> is the size of </w:t>
      </w:r>
      <w:r w:rsidR="004F50E6">
        <w:rPr>
          <w:rFonts w:eastAsiaTheme="minorEastAsia"/>
        </w:rPr>
        <w:t>one</w:t>
      </w:r>
      <w:r w:rsidR="004F50E6" w:rsidRPr="00776D6E">
        <w:rPr>
          <w:rFonts w:eastAsiaTheme="minorEastAsia"/>
        </w:rPr>
        <w:t xml:space="preserve"> guard band in RBs</w:t>
      </w:r>
      <w:r w:rsidR="004F50E6">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BWP,i,ULsb</m:t>
            </m:r>
          </m:sub>
          <m:sup>
            <m:r>
              <w:rPr>
                <w:rFonts w:ascii="Cambria Math" w:hAnsi="Cambria Math"/>
              </w:rPr>
              <m:t>size</m:t>
            </m:r>
          </m:sup>
        </m:sSubSup>
      </m:oMath>
      <w:r w:rsidR="004F50E6">
        <w:rPr>
          <w:rFonts w:eastAsiaTheme="minorEastAsia"/>
        </w:rPr>
        <w:t xml:space="preserve"> is the size of UL subband in RBs.</w:t>
      </w:r>
    </w:p>
    <w:p w14:paraId="5B909077" w14:textId="0F91499E" w:rsidR="00D76D03" w:rsidRDefault="00D76D03" w:rsidP="00907D4F">
      <w:pPr>
        <w:pStyle w:val="BodyText"/>
        <w:rPr>
          <w:rFonts w:eastAsiaTheme="minorEastAsia"/>
        </w:rPr>
      </w:pPr>
      <w:r>
        <w:t>Let’s assume the</w:t>
      </w:r>
      <w:r w:rsidDel="00C65056">
        <w:t xml:space="preserve"> </w:t>
      </w:r>
      <w:r>
        <w:t xml:space="preserve">same DL BWP configuration and the same SBFD configuration as in the previous example. In this option, the RIV rule </w:t>
      </w:r>
      <w:proofErr w:type="gramStart"/>
      <w:r>
        <w:t>has to</w:t>
      </w:r>
      <w:proofErr w:type="gramEnd"/>
      <w:r>
        <w:t xml:space="preserve"> be modified so that the </w:t>
      </w:r>
      <w:r w:rsidR="005D45F7">
        <w:t>VRB space</w:t>
      </w:r>
      <w:r>
        <w:t xml:space="preserve"> is that of the DL subbands, equivalent to 216 VRBs (Notice that </w:t>
      </w:r>
      <w:r>
        <w:rPr>
          <w:rStyle w:val="ui-provider"/>
        </w:rPr>
        <w:t>in this option,  the VRB space do</w:t>
      </w:r>
      <w:r w:rsidR="006F4993">
        <w:rPr>
          <w:rStyle w:val="ui-provider"/>
        </w:rPr>
        <w:t>es</w:t>
      </w:r>
      <w:r>
        <w:rPr>
          <w:rStyle w:val="ui-provider"/>
        </w:rPr>
        <w:t xml:space="preserve"> not include the </w:t>
      </w:r>
      <w:r w:rsidR="00FC328D">
        <w:rPr>
          <w:rStyle w:val="ui-provider"/>
        </w:rPr>
        <w:t xml:space="preserve">VRBs in the </w:t>
      </w:r>
      <w:r>
        <w:rPr>
          <w:rStyle w:val="ui-provider"/>
        </w:rPr>
        <w:t>UL subband and guard bands)</w:t>
      </w:r>
      <w:r>
        <w:t xml:space="preserve">. </w:t>
      </w:r>
      <w:r>
        <w:rPr>
          <w:rFonts w:eastAsiaTheme="minorEastAsia"/>
        </w:rPr>
        <w:t xml:space="preserve">Let’s assume </w:t>
      </w:r>
      <w:r>
        <w:t>Resource Allocation Type 1 is configured and the</w:t>
      </w:r>
      <w:r>
        <w:rPr>
          <w:rFonts w:eastAsiaTheme="minorEastAsia"/>
        </w:rPr>
        <w:t xml:space="preserve"> RIV indicates a set of contiguous non-interleaved VRB with start VRB 0 and a length of 136 VRBs. Receiving this RIV and being aware of the SBFD configuration, the UE can derive that PDSCH is mapped to PRBs 0, …, 107 in the first DL subband, and since 136&gt;108, it </w:t>
      </w:r>
      <w:proofErr w:type="gramStart"/>
      <w:r>
        <w:rPr>
          <w:rFonts w:eastAsiaTheme="minorEastAsia"/>
        </w:rPr>
        <w:t>has to</w:t>
      </w:r>
      <w:proofErr w:type="gramEnd"/>
      <w:r>
        <w:rPr>
          <w:rFonts w:eastAsiaTheme="minorEastAsia"/>
        </w:rPr>
        <w:t xml:space="preserve"> apply a block-wise shift of 56 (the size of UL </w:t>
      </w:r>
      <w:proofErr w:type="spellStart"/>
      <w:r>
        <w:rPr>
          <w:rFonts w:eastAsiaTheme="minorEastAsia"/>
        </w:rPr>
        <w:t>subband</w:t>
      </w:r>
      <w:proofErr w:type="spellEnd"/>
      <w:r>
        <w:rPr>
          <w:rFonts w:eastAsiaTheme="minorEastAsia"/>
        </w:rPr>
        <w:t xml:space="preserve"> and </w:t>
      </w:r>
      <w:proofErr w:type="spellStart"/>
      <w:r w:rsidR="00827DDB">
        <w:rPr>
          <w:rFonts w:eastAsiaTheme="minorEastAsia"/>
        </w:rPr>
        <w:t>guardbands</w:t>
      </w:r>
      <w:proofErr w:type="spellEnd"/>
      <w:r>
        <w:rPr>
          <w:rFonts w:eastAsiaTheme="minorEastAsia"/>
        </w:rPr>
        <w:t>), and in the second DL subband the allocated PRBs are 164, …, 191.</w:t>
      </w:r>
    </w:p>
    <w:p w14:paraId="25FB65A7" w14:textId="1ABC12E4" w:rsidR="00BF79A7" w:rsidRDefault="00065ADA" w:rsidP="00A81EE7">
      <w:pPr>
        <w:keepNext/>
        <w:jc w:val="center"/>
      </w:pPr>
      <w:r>
        <w:rPr>
          <w:noProof/>
        </w:rPr>
        <w:lastRenderedPageBreak/>
        <w:drawing>
          <wp:inline distT="0" distB="0" distL="0" distR="0" wp14:anchorId="4782F77D" wp14:editId="6FB7497D">
            <wp:extent cx="5874316" cy="1291120"/>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9071" cy="1303155"/>
                    </a:xfrm>
                    <a:prstGeom prst="rect">
                      <a:avLst/>
                    </a:prstGeom>
                    <a:noFill/>
                  </pic:spPr>
                </pic:pic>
              </a:graphicData>
            </a:graphic>
          </wp:inline>
        </w:drawing>
      </w:r>
    </w:p>
    <w:p w14:paraId="54030836" w14:textId="29CD3CA4" w:rsidR="00D76D03" w:rsidRDefault="00BF79A7" w:rsidP="00BF79A7">
      <w:pPr>
        <w:pStyle w:val="Caption"/>
        <w:jc w:val="center"/>
      </w:pPr>
      <w:r>
        <w:t xml:space="preserve">Figure </w:t>
      </w:r>
      <w:r>
        <w:fldChar w:fldCharType="begin"/>
      </w:r>
      <w:r>
        <w:instrText xml:space="preserve"> SEQ Figure \* ARABIC </w:instrText>
      </w:r>
      <w:r>
        <w:fldChar w:fldCharType="separate"/>
      </w:r>
      <w:r w:rsidR="00D32653">
        <w:rPr>
          <w:noProof/>
        </w:rPr>
        <w:t>9</w:t>
      </w:r>
      <w:r>
        <w:fldChar w:fldCharType="end"/>
      </w:r>
      <w:r>
        <w:t xml:space="preserve"> </w:t>
      </w:r>
      <w:r w:rsidRPr="00DF1C49">
        <w:t>Example of improvement for non-contiguous Type 1 Resource Allocation (</w:t>
      </w:r>
      <w:r w:rsidR="00CF61DC">
        <w:t>Alternative</w:t>
      </w:r>
      <w:r w:rsidRPr="00DF1C49">
        <w:t xml:space="preserve"> </w:t>
      </w:r>
      <w:r w:rsidR="00713CAE">
        <w:t>2</w:t>
      </w:r>
      <w:r w:rsidRPr="00DF1C49">
        <w:t>)</w:t>
      </w:r>
    </w:p>
    <w:p w14:paraId="7FC4A977" w14:textId="50A253CA" w:rsidR="006168DB" w:rsidRPr="00B02C8A" w:rsidRDefault="006168DB" w:rsidP="006168DB">
      <w:pPr>
        <w:pStyle w:val="Proposal"/>
        <w:numPr>
          <w:ilvl w:val="0"/>
          <w:numId w:val="47"/>
        </w:numPr>
        <w:rPr>
          <w:lang w:val="en-GB" w:eastAsia="ja-JP"/>
        </w:rPr>
      </w:pPr>
      <w:bookmarkStart w:id="98" w:name="_Toc159244023"/>
      <w:r>
        <w:t xml:space="preserve">Enhance DL Resource Allocation Type 1 for SBFD operation so that the inclusion of the UL </w:t>
      </w:r>
      <w:proofErr w:type="spellStart"/>
      <w:r>
        <w:t>subband</w:t>
      </w:r>
      <w:proofErr w:type="spellEnd"/>
      <w:r>
        <w:t xml:space="preserve"> and </w:t>
      </w:r>
      <w:proofErr w:type="spellStart"/>
      <w:r w:rsidR="00827DDB">
        <w:t>guardbands</w:t>
      </w:r>
      <w:proofErr w:type="spellEnd"/>
      <w:r>
        <w:t xml:space="preserve"> is transparent to Release 18 and older UEs and is allowed with full potentiality to allocated resources across multiple </w:t>
      </w:r>
      <w:proofErr w:type="gramStart"/>
      <w:r>
        <w:t xml:space="preserve">subbands, </w:t>
      </w:r>
      <w:r w:rsidR="002E4BF5">
        <w:t>and</w:t>
      </w:r>
      <w:proofErr w:type="gramEnd"/>
      <w:r w:rsidR="002E4BF5">
        <w:t xml:space="preserve"> optimized </w:t>
      </w:r>
      <w:r>
        <w:t>for Release 19 and onwards UEs.</w:t>
      </w:r>
      <w:bookmarkEnd w:id="98"/>
    </w:p>
    <w:p w14:paraId="5341E368" w14:textId="77777777" w:rsidR="006168DB" w:rsidRPr="00410D34" w:rsidRDefault="006168DB" w:rsidP="00410D34">
      <w:pPr>
        <w:rPr>
          <w:lang w:val="en-GB"/>
        </w:rPr>
      </w:pPr>
    </w:p>
    <w:p w14:paraId="3E4E1275" w14:textId="727EEDE6" w:rsidR="00D56E8E" w:rsidRDefault="00EC1A5A" w:rsidP="00BF288B">
      <w:pPr>
        <w:pStyle w:val="Heading4"/>
      </w:pPr>
      <w:r>
        <w:t>3.</w:t>
      </w:r>
      <w:r w:rsidR="003B1B49">
        <w:t>2</w:t>
      </w:r>
      <w:r w:rsidR="003A3C7D">
        <w:t>.</w:t>
      </w:r>
      <w:r w:rsidR="003255F1">
        <w:t>3</w:t>
      </w:r>
      <w:r w:rsidR="003A3C7D">
        <w:t>.3</w:t>
      </w:r>
      <w:r>
        <w:tab/>
      </w:r>
      <w:r w:rsidR="00D56E8E">
        <w:t>VRB to PRB mapping</w:t>
      </w:r>
    </w:p>
    <w:p w14:paraId="73E193B7" w14:textId="23361225" w:rsidR="00FD1964" w:rsidRDefault="00882A7D" w:rsidP="004114AC">
      <w:pPr>
        <w:pStyle w:val="BodyText"/>
      </w:pPr>
      <w:r>
        <w:rPr>
          <w:lang w:val="en-GB"/>
        </w:rPr>
        <w:t>Interleav</w:t>
      </w:r>
      <w:r w:rsidR="000B3DF0">
        <w:rPr>
          <w:lang w:val="en-GB"/>
        </w:rPr>
        <w:t>ed</w:t>
      </w:r>
      <w:r>
        <w:rPr>
          <w:lang w:val="en-GB"/>
        </w:rPr>
        <w:t xml:space="preserve"> VRB-to-PRB </w:t>
      </w:r>
      <w:proofErr w:type="spellStart"/>
      <w:r>
        <w:rPr>
          <w:lang w:val="en-GB"/>
        </w:rPr>
        <w:t>maping</w:t>
      </w:r>
      <w:proofErr w:type="spellEnd"/>
      <w:r>
        <w:rPr>
          <w:lang w:val="en-GB"/>
        </w:rPr>
        <w:t xml:space="preserve"> is supported for DL Resource Allocation Type 1</w:t>
      </w:r>
      <w:r w:rsidR="00CB2D18">
        <w:rPr>
          <w:lang w:val="en-GB"/>
        </w:rPr>
        <w:t xml:space="preserve"> in the current specification</w:t>
      </w:r>
      <w:r>
        <w:rPr>
          <w:lang w:val="en-GB"/>
        </w:rPr>
        <w:t xml:space="preserve">. </w:t>
      </w:r>
      <w:r w:rsidR="00FD7BE4">
        <w:rPr>
          <w:lang w:val="en-GB"/>
        </w:rPr>
        <w:t xml:space="preserve">When SBFD is deployed, </w:t>
      </w:r>
      <w:r w:rsidR="002B098A">
        <w:rPr>
          <w:lang w:val="en-GB"/>
        </w:rPr>
        <w:t xml:space="preserve">the strict application of </w:t>
      </w:r>
      <w:r w:rsidR="00FD1964" w:rsidRPr="0002334B">
        <w:t xml:space="preserve">VRB-to-PRB mapping </w:t>
      </w:r>
      <w:r w:rsidR="00BA71F3">
        <w:t xml:space="preserve">rule </w:t>
      </w:r>
      <w:r w:rsidR="002B098A">
        <w:t xml:space="preserve">may end up with DL VRBs mapped to UL </w:t>
      </w:r>
      <w:proofErr w:type="spellStart"/>
      <w:r w:rsidR="002B098A">
        <w:t>subband</w:t>
      </w:r>
      <w:proofErr w:type="spellEnd"/>
      <w:r w:rsidR="002B098A">
        <w:t xml:space="preserve"> </w:t>
      </w:r>
      <w:r w:rsidR="00E46EE2">
        <w:t xml:space="preserve">or </w:t>
      </w:r>
      <w:proofErr w:type="spellStart"/>
      <w:r w:rsidR="006E67DC">
        <w:t>g</w:t>
      </w:r>
      <w:r w:rsidR="00E46EE2">
        <w:t>uardband</w:t>
      </w:r>
      <w:proofErr w:type="spellEnd"/>
      <w:r w:rsidR="00E46EE2">
        <w:t xml:space="preserve"> </w:t>
      </w:r>
      <w:r w:rsidR="002B098A">
        <w:t>PRBs</w:t>
      </w:r>
      <w:r w:rsidR="00E26F55">
        <w:t xml:space="preserve">. A simple solution may be to disable interleaving </w:t>
      </w:r>
      <w:r w:rsidR="005535F9">
        <w:t xml:space="preserve">for SBFD operation. Alternatively, </w:t>
      </w:r>
      <w:r w:rsidR="004114AC">
        <w:t xml:space="preserve">the currently available VRB-to-PRB </w:t>
      </w:r>
      <w:r w:rsidR="009C01BC">
        <w:t xml:space="preserve">mapping </w:t>
      </w:r>
      <w:r w:rsidR="004114AC">
        <w:t xml:space="preserve">rule </w:t>
      </w:r>
      <w:r w:rsidR="009C01BC">
        <w:t xml:space="preserve">can </w:t>
      </w:r>
      <w:r w:rsidR="00A6792B">
        <w:t xml:space="preserve">be adjusted </w:t>
      </w:r>
      <w:r w:rsidR="00CD187D">
        <w:t xml:space="preserve">so that </w:t>
      </w:r>
      <w:r w:rsidR="00AC5B8B">
        <w:t xml:space="preserve">VRBs are mapped </w:t>
      </w:r>
      <w:r w:rsidR="00EF2B4F">
        <w:t>o</w:t>
      </w:r>
      <w:r w:rsidR="00AC5B8B">
        <w:t xml:space="preserve">nto DL subbands and not </w:t>
      </w:r>
      <w:r w:rsidR="00F102A5">
        <w:t xml:space="preserve">in PRBs allocated to the UL </w:t>
      </w:r>
      <w:proofErr w:type="spellStart"/>
      <w:r w:rsidR="00F102A5">
        <w:t>subband</w:t>
      </w:r>
      <w:proofErr w:type="spellEnd"/>
      <w:r w:rsidR="00EC5931">
        <w:t xml:space="preserve"> and </w:t>
      </w:r>
      <w:proofErr w:type="spellStart"/>
      <w:r w:rsidR="00EC5931">
        <w:t>guardbands</w:t>
      </w:r>
      <w:proofErr w:type="spellEnd"/>
      <w:r w:rsidR="00270813">
        <w:t xml:space="preserve">. </w:t>
      </w:r>
      <w:r w:rsidR="004114AC">
        <w:t xml:space="preserve">Some examples of </w:t>
      </w:r>
      <w:r w:rsidR="00E93857">
        <w:t>modification of the VRB-to-PRB mapping procedure are discussed in the following.</w:t>
      </w:r>
    </w:p>
    <w:p w14:paraId="176201A9" w14:textId="35E02351" w:rsidR="0071631C" w:rsidRDefault="00881281" w:rsidP="00FD1964">
      <w:pPr>
        <w:pStyle w:val="BodyText"/>
      </w:pPr>
      <w:r>
        <w:rPr>
          <w:b/>
        </w:rPr>
        <w:t>Alternative</w:t>
      </w:r>
      <w:r w:rsidR="0071631C" w:rsidRPr="00516FCA">
        <w:rPr>
          <w:b/>
        </w:rPr>
        <w:t xml:space="preserve"> </w:t>
      </w:r>
      <w:r w:rsidR="00E93857" w:rsidRPr="00516FCA">
        <w:rPr>
          <w:b/>
        </w:rPr>
        <w:t>1</w:t>
      </w:r>
      <w:r w:rsidR="0071631C">
        <w:t>: Modify</w:t>
      </w:r>
      <w:r w:rsidR="0071631C" w:rsidDel="00C0199B">
        <w:t xml:space="preserve"> </w:t>
      </w:r>
      <w:r w:rsidR="0071631C">
        <w:t>VRB interleaving to operate separately on each DL subband, considering a specific starting position for each subband, depending on the SBFD carrier configuration (D-U-D, D-U or U-D). In this option</w:t>
      </w:r>
      <w:r w:rsidR="0071631C" w:rsidDel="00431C72">
        <w:t xml:space="preserve"> </w:t>
      </w:r>
      <w:r w:rsidR="00431C72">
        <w:t>current</w:t>
      </w:r>
      <w:r w:rsidR="0071631C">
        <w:t xml:space="preserve"> formulation</w:t>
      </w:r>
      <w:r w:rsidR="008149DC">
        <w:t xml:space="preserve"> for VRB-to-PRB mapping</w:t>
      </w:r>
      <w:r w:rsidR="0071631C">
        <w:t xml:space="preserve"> is then applied</w:t>
      </w:r>
      <w:r w:rsidR="008149DC">
        <w:t xml:space="preserve"> to each single DL subband.</w:t>
      </w:r>
      <w:r w:rsidR="00CD7112">
        <w:t xml:space="preserve"> Considering the same example as in section 3.</w:t>
      </w:r>
      <w:r w:rsidR="00971B99">
        <w:t>2.</w:t>
      </w:r>
      <w:r w:rsidR="00CD7112">
        <w:t>3.2</w:t>
      </w:r>
      <w:r w:rsidR="00971B99">
        <w:t>,</w:t>
      </w:r>
      <w:r w:rsidR="00295C44">
        <w:t xml:space="preserve"> </w:t>
      </w:r>
      <w:r w:rsidR="007E1BF2">
        <w:fldChar w:fldCharType="begin"/>
      </w:r>
      <w:r w:rsidR="007E1BF2">
        <w:instrText xml:space="preserve"> REF _Ref158975601 \h </w:instrText>
      </w:r>
      <w:r w:rsidR="007E1BF2">
        <w:fldChar w:fldCharType="separate"/>
      </w:r>
      <w:r w:rsidR="00D32653">
        <w:t xml:space="preserve">Figure </w:t>
      </w:r>
      <w:r w:rsidR="00D32653">
        <w:rPr>
          <w:noProof/>
        </w:rPr>
        <w:t>10</w:t>
      </w:r>
      <w:r w:rsidR="007E1BF2">
        <w:fldChar w:fldCharType="end"/>
      </w:r>
      <w:r w:rsidR="007E1BF2">
        <w:t xml:space="preserve"> </w:t>
      </w:r>
      <w:r w:rsidR="007F1385">
        <w:t xml:space="preserve">shows graphically this </w:t>
      </w:r>
      <w:r>
        <w:t>alternative</w:t>
      </w:r>
      <w:r w:rsidR="007F1385">
        <w:t>.</w:t>
      </w:r>
    </w:p>
    <w:p w14:paraId="1D68FFF6" w14:textId="44470E70" w:rsidR="00D86310" w:rsidRDefault="00881281" w:rsidP="00D86310">
      <w:pPr>
        <w:pStyle w:val="BodyText"/>
      </w:pPr>
      <w:r>
        <w:rPr>
          <w:b/>
        </w:rPr>
        <w:t>Alternative</w:t>
      </w:r>
      <w:r w:rsidRPr="00516FCA">
        <w:rPr>
          <w:b/>
        </w:rPr>
        <w:t xml:space="preserve"> </w:t>
      </w:r>
      <w:r w:rsidR="00D86310" w:rsidRPr="00516FCA">
        <w:rPr>
          <w:b/>
        </w:rPr>
        <w:t>2</w:t>
      </w:r>
      <w:r w:rsidR="00D86310">
        <w:t xml:space="preserve">: Modify VRB interleaving to operate on the full set of DL resources (aggregate of resources in the different DL subbands), independently on the carrier configuration, and then apply a block wise shift of the size of the UL </w:t>
      </w:r>
      <w:proofErr w:type="spellStart"/>
      <w:r w:rsidR="00D86310">
        <w:t>subband</w:t>
      </w:r>
      <w:proofErr w:type="spellEnd"/>
      <w:r w:rsidR="00D86310">
        <w:t xml:space="preserve"> and the </w:t>
      </w:r>
      <w:proofErr w:type="spellStart"/>
      <w:r w:rsidR="00D86310">
        <w:t>guardbands</w:t>
      </w:r>
      <w:proofErr w:type="spellEnd"/>
      <w:r w:rsidR="00D86310">
        <w:t>. In this option,</w:t>
      </w:r>
      <w:r w:rsidR="00D86310" w:rsidDel="00067C23">
        <w:t xml:space="preserve"> </w:t>
      </w:r>
      <w:r w:rsidR="00D86310">
        <w:t xml:space="preserve">the current formulation for VRB-to-PRB mapping is applied to a bandwidth of the size of all DL subbands resources (reduced VRB space). Considering the same example as in section 3.2.3.2, </w:t>
      </w:r>
      <w:r w:rsidR="00D86310">
        <w:fldChar w:fldCharType="begin"/>
      </w:r>
      <w:r w:rsidR="00D86310">
        <w:instrText xml:space="preserve"> REF _Ref158975648 \h </w:instrText>
      </w:r>
      <w:r w:rsidR="00D86310">
        <w:fldChar w:fldCharType="separate"/>
      </w:r>
      <w:r w:rsidR="00D32653">
        <w:t xml:space="preserve">Figure </w:t>
      </w:r>
      <w:r w:rsidR="00D32653">
        <w:rPr>
          <w:noProof/>
        </w:rPr>
        <w:t>11</w:t>
      </w:r>
      <w:r w:rsidR="00D86310">
        <w:fldChar w:fldCharType="end"/>
      </w:r>
      <w:r w:rsidR="00D86310">
        <w:t xml:space="preserve"> shows graphically this </w:t>
      </w:r>
      <w:r>
        <w:t>alternative</w:t>
      </w:r>
      <w:r w:rsidR="00D86310">
        <w:t>.</w:t>
      </w:r>
    </w:p>
    <w:p w14:paraId="7F95AD1D" w14:textId="47E98C60" w:rsidR="003C1987" w:rsidRDefault="00396A54" w:rsidP="003C1987">
      <w:pPr>
        <w:pStyle w:val="BodyText"/>
      </w:pPr>
      <w:r>
        <w:rPr>
          <w:b/>
        </w:rPr>
        <w:t>Alternative</w:t>
      </w:r>
      <w:r w:rsidRPr="00516FCA">
        <w:rPr>
          <w:b/>
        </w:rPr>
        <w:t xml:space="preserve"> </w:t>
      </w:r>
      <w:r w:rsidR="003C1987">
        <w:rPr>
          <w:b/>
          <w:bCs/>
        </w:rPr>
        <w:t>3</w:t>
      </w:r>
      <w:r w:rsidR="003C1987">
        <w:t xml:space="preserve">: Modify VRB interleaving to operate on the full DL BWP (full VRB space), and mask out the VRBs mapped to UL </w:t>
      </w:r>
      <w:proofErr w:type="spellStart"/>
      <w:r w:rsidR="003C1987">
        <w:t>subband</w:t>
      </w:r>
      <w:proofErr w:type="spellEnd"/>
      <w:r w:rsidR="003C1987">
        <w:t xml:space="preserve"> and </w:t>
      </w:r>
      <w:proofErr w:type="spellStart"/>
      <w:r w:rsidR="003C1987">
        <w:t>guardbands</w:t>
      </w:r>
      <w:proofErr w:type="spellEnd"/>
      <w:r w:rsidR="003C1987">
        <w:t xml:space="preserve">: In this option, the VRB-to-PRB mapping is applied to the bandwidth of the full DL BWP as in non-SBFD scenarios, which means that the interleaving is applied also to VRBs that will be mapped to PRBs in the UL subband and the guard bands. The UE, who is previously provided with the SBFD configuration, can identify the PRBs in UL subbands and guard bands as invalid and mask out the corresponding VRBs. Considering the same example as in section 3.2.3.2, </w:t>
      </w:r>
      <w:r w:rsidR="003C1987">
        <w:fldChar w:fldCharType="begin"/>
      </w:r>
      <w:r w:rsidR="003C1987">
        <w:instrText xml:space="preserve"> REF _Ref158988112 \h </w:instrText>
      </w:r>
      <w:r w:rsidR="003C1987">
        <w:fldChar w:fldCharType="separate"/>
      </w:r>
      <w:r w:rsidR="00D32653">
        <w:t xml:space="preserve">Figure </w:t>
      </w:r>
      <w:r w:rsidR="00D32653">
        <w:rPr>
          <w:noProof/>
        </w:rPr>
        <w:t>12</w:t>
      </w:r>
      <w:r w:rsidR="003C1987">
        <w:fldChar w:fldCharType="end"/>
      </w:r>
      <w:r w:rsidR="003C1987">
        <w:t xml:space="preserve"> shows graphically this </w:t>
      </w:r>
      <w:r>
        <w:t>alternative</w:t>
      </w:r>
      <w:r w:rsidR="003C1987">
        <w:t>.</w:t>
      </w:r>
    </w:p>
    <w:p w14:paraId="0394C631" w14:textId="77777777" w:rsidR="00E63D2B" w:rsidRPr="00B02C8A" w:rsidRDefault="00E63D2B" w:rsidP="00E63D2B">
      <w:pPr>
        <w:pStyle w:val="Proposal"/>
        <w:numPr>
          <w:ilvl w:val="0"/>
          <w:numId w:val="47"/>
        </w:numPr>
        <w:rPr>
          <w:lang w:val="en-GB" w:eastAsia="ja-JP"/>
        </w:rPr>
      </w:pPr>
      <w:bookmarkStart w:id="99" w:name="_Toc159244024"/>
      <w:r w:rsidRPr="00274CFF">
        <w:rPr>
          <w:lang w:val="en-GB" w:eastAsia="ja-JP"/>
        </w:rPr>
        <w:t xml:space="preserve">Enhance PDSCH VRB-to-PRB mapping in SBFD operation so that the indicated VRBs are mapped to PRBs </w:t>
      </w:r>
      <w:r>
        <w:rPr>
          <w:lang w:val="en-GB" w:eastAsia="ja-JP"/>
        </w:rPr>
        <w:t xml:space="preserve">only </w:t>
      </w:r>
      <w:r w:rsidRPr="00274CFF">
        <w:rPr>
          <w:lang w:val="en-GB" w:eastAsia="ja-JP"/>
        </w:rPr>
        <w:t>in the DL subbands.</w:t>
      </w:r>
      <w:bookmarkEnd w:id="99"/>
    </w:p>
    <w:p w14:paraId="21ECF7F8" w14:textId="77777777" w:rsidR="00D86310" w:rsidRPr="004634D8" w:rsidRDefault="00D86310" w:rsidP="00FD1964">
      <w:pPr>
        <w:pStyle w:val="BodyText"/>
        <w:rPr>
          <w:lang w:val="en-GB"/>
        </w:rPr>
      </w:pPr>
    </w:p>
    <w:p w14:paraId="28E81559" w14:textId="77777777" w:rsidR="00712427" w:rsidRDefault="001304BF" w:rsidP="00550708">
      <w:pPr>
        <w:keepNext/>
      </w:pPr>
      <w:r>
        <w:rPr>
          <w:noProof/>
        </w:rPr>
        <w:lastRenderedPageBreak/>
        <w:drawing>
          <wp:inline distT="0" distB="0" distL="0" distR="0" wp14:anchorId="1179F035" wp14:editId="2314CADD">
            <wp:extent cx="5530254" cy="1516402"/>
            <wp:effectExtent l="0" t="0" r="0" b="7620"/>
            <wp:docPr id="305580949" name="Picture 305580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55721" cy="1523385"/>
                    </a:xfrm>
                    <a:prstGeom prst="rect">
                      <a:avLst/>
                    </a:prstGeom>
                    <a:noFill/>
                  </pic:spPr>
                </pic:pic>
              </a:graphicData>
            </a:graphic>
          </wp:inline>
        </w:drawing>
      </w:r>
    </w:p>
    <w:p w14:paraId="4AA8077E" w14:textId="50EBB98E" w:rsidR="001304BF" w:rsidRDefault="00712427" w:rsidP="00550708">
      <w:pPr>
        <w:pStyle w:val="Caption"/>
        <w:jc w:val="center"/>
      </w:pPr>
      <w:bookmarkStart w:id="100" w:name="_Ref158975601"/>
      <w:r>
        <w:t xml:space="preserve">Figure </w:t>
      </w:r>
      <w:r>
        <w:fldChar w:fldCharType="begin"/>
      </w:r>
      <w:r>
        <w:instrText xml:space="preserve"> SEQ Figure \* ARABIC </w:instrText>
      </w:r>
      <w:r>
        <w:fldChar w:fldCharType="separate"/>
      </w:r>
      <w:r w:rsidR="00D32653">
        <w:rPr>
          <w:noProof/>
        </w:rPr>
        <w:t>10</w:t>
      </w:r>
      <w:r>
        <w:fldChar w:fldCharType="end"/>
      </w:r>
      <w:bookmarkEnd w:id="100"/>
      <w:r>
        <w:t xml:space="preserve"> </w:t>
      </w:r>
      <w:r w:rsidRPr="00D6150D">
        <w:t xml:space="preserve">Example of VRB-to-PRB mapping, </w:t>
      </w:r>
      <w:r w:rsidR="00A4757F">
        <w:t xml:space="preserve">which is </w:t>
      </w:r>
      <w:r w:rsidRPr="00D6150D">
        <w:t>independent per DL subband (</w:t>
      </w:r>
      <w:r w:rsidR="00372059">
        <w:t>Alternative</w:t>
      </w:r>
      <w:r w:rsidR="00372059" w:rsidRPr="004634D8">
        <w:t xml:space="preserve"> </w:t>
      </w:r>
      <w:r w:rsidR="007F366F" w:rsidRPr="00047E4F">
        <w:t>1</w:t>
      </w:r>
      <w:r w:rsidRPr="00047E4F">
        <w:t>)</w:t>
      </w:r>
    </w:p>
    <w:p w14:paraId="73819A7F" w14:textId="4FD8DF80" w:rsidR="0054778B" w:rsidRDefault="0054778B" w:rsidP="0054778B"/>
    <w:p w14:paraId="5BDB3E2C" w14:textId="3FED0990" w:rsidR="006562AD" w:rsidRDefault="006562AD" w:rsidP="00550708">
      <w:pPr>
        <w:keepNext/>
        <w:ind w:left="720"/>
        <w:jc w:val="center"/>
      </w:pPr>
    </w:p>
    <w:p w14:paraId="649E8E87" w14:textId="02B9AC8E" w:rsidR="00736154" w:rsidRDefault="00736154" w:rsidP="00550708">
      <w:pPr>
        <w:keepNext/>
        <w:ind w:left="720"/>
        <w:jc w:val="center"/>
      </w:pPr>
      <w:r>
        <w:rPr>
          <w:noProof/>
        </w:rPr>
        <w:drawing>
          <wp:inline distT="0" distB="0" distL="0" distR="0" wp14:anchorId="36D51794" wp14:editId="6FDB78EA">
            <wp:extent cx="4726738" cy="246358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7457" cy="2474385"/>
                    </a:xfrm>
                    <a:prstGeom prst="rect">
                      <a:avLst/>
                    </a:prstGeom>
                    <a:noFill/>
                  </pic:spPr>
                </pic:pic>
              </a:graphicData>
            </a:graphic>
          </wp:inline>
        </w:drawing>
      </w:r>
    </w:p>
    <w:p w14:paraId="510E7006" w14:textId="2CC784EA" w:rsidR="00CD7112" w:rsidRDefault="006562AD" w:rsidP="00550708">
      <w:pPr>
        <w:pStyle w:val="Caption"/>
        <w:jc w:val="center"/>
      </w:pPr>
      <w:bookmarkStart w:id="101" w:name="_Ref158975648"/>
      <w:r>
        <w:t xml:space="preserve">Figure </w:t>
      </w:r>
      <w:r>
        <w:fldChar w:fldCharType="begin"/>
      </w:r>
      <w:r>
        <w:instrText xml:space="preserve"> SEQ Figure \* ARABIC </w:instrText>
      </w:r>
      <w:r>
        <w:fldChar w:fldCharType="separate"/>
      </w:r>
      <w:r w:rsidR="00D32653">
        <w:rPr>
          <w:noProof/>
        </w:rPr>
        <w:t>11</w:t>
      </w:r>
      <w:r>
        <w:fldChar w:fldCharType="end"/>
      </w:r>
      <w:bookmarkEnd w:id="101"/>
      <w:r>
        <w:t xml:space="preserve"> </w:t>
      </w:r>
      <w:r w:rsidRPr="00F467CA">
        <w:t>Example of VRB-to-PRB mapping, combined for the 2 DL subbands (</w:t>
      </w:r>
      <w:r w:rsidR="00372059">
        <w:t>Alternative</w:t>
      </w:r>
      <w:r w:rsidR="00372059" w:rsidRPr="00F467CA">
        <w:t xml:space="preserve"> </w:t>
      </w:r>
      <w:r w:rsidR="007F366F">
        <w:t>2</w:t>
      </w:r>
      <w:r w:rsidRPr="00F467CA">
        <w:t>)</w:t>
      </w:r>
    </w:p>
    <w:p w14:paraId="67FEDC12" w14:textId="2A9FF3F9" w:rsidR="00481C43" w:rsidRDefault="00481C43" w:rsidP="00550708">
      <w:pPr>
        <w:keepNext/>
        <w:jc w:val="center"/>
      </w:pPr>
    </w:p>
    <w:p w14:paraId="4C280AF4" w14:textId="64EE79F7" w:rsidR="00622915" w:rsidRDefault="00622915" w:rsidP="00550708">
      <w:pPr>
        <w:keepNext/>
        <w:jc w:val="center"/>
      </w:pPr>
      <w:r>
        <w:rPr>
          <w:noProof/>
        </w:rPr>
        <w:drawing>
          <wp:inline distT="0" distB="0" distL="0" distR="0" wp14:anchorId="7C3DC30E" wp14:editId="47A6CC0A">
            <wp:extent cx="6054090" cy="2402205"/>
            <wp:effectExtent l="0" t="0" r="3810" b="0"/>
            <wp:docPr id="1043862119" name="Picture 104386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54090" cy="2402205"/>
                    </a:xfrm>
                    <a:prstGeom prst="rect">
                      <a:avLst/>
                    </a:prstGeom>
                    <a:noFill/>
                  </pic:spPr>
                </pic:pic>
              </a:graphicData>
            </a:graphic>
          </wp:inline>
        </w:drawing>
      </w:r>
    </w:p>
    <w:p w14:paraId="050434FE" w14:textId="40EEBE67" w:rsidR="00955B47" w:rsidRDefault="00481C43" w:rsidP="00955B47">
      <w:pPr>
        <w:pStyle w:val="Caption"/>
        <w:jc w:val="center"/>
      </w:pPr>
      <w:bookmarkStart w:id="102" w:name="_Ref158988112"/>
      <w:r>
        <w:t xml:space="preserve">Figure </w:t>
      </w:r>
      <w:r>
        <w:rPr>
          <w:b w:val="0"/>
        </w:rPr>
        <w:fldChar w:fldCharType="begin"/>
      </w:r>
      <w:r>
        <w:instrText xml:space="preserve"> SEQ Figure \* ARABIC </w:instrText>
      </w:r>
      <w:r>
        <w:rPr>
          <w:b w:val="0"/>
        </w:rPr>
        <w:fldChar w:fldCharType="separate"/>
      </w:r>
      <w:r w:rsidR="00D32653">
        <w:rPr>
          <w:noProof/>
        </w:rPr>
        <w:t>12</w:t>
      </w:r>
      <w:r>
        <w:rPr>
          <w:b w:val="0"/>
        </w:rPr>
        <w:fldChar w:fldCharType="end"/>
      </w:r>
      <w:bookmarkEnd w:id="102"/>
      <w:r>
        <w:t xml:space="preserve"> </w:t>
      </w:r>
      <w:r w:rsidRPr="00AC6438">
        <w:t>Example of VRB-to-PRB mapping, over the entire DL BWP (</w:t>
      </w:r>
      <w:r w:rsidR="00372059">
        <w:t>Alternative</w:t>
      </w:r>
      <w:r w:rsidR="00372059" w:rsidRPr="00AC6438">
        <w:t xml:space="preserve"> </w:t>
      </w:r>
      <w:r w:rsidR="007F366F">
        <w:t>3</w:t>
      </w:r>
      <w:r w:rsidRPr="00AC6438">
        <w:t>)</w:t>
      </w:r>
    </w:p>
    <w:p w14:paraId="40360924" w14:textId="77777777" w:rsidR="00437D73" w:rsidRPr="001C170E" w:rsidRDefault="00437D73" w:rsidP="00235FA3"/>
    <w:p w14:paraId="102F3F5D" w14:textId="291CB590" w:rsidR="00EA0898" w:rsidRPr="004634D8" w:rsidRDefault="00EA0898" w:rsidP="00EA0898"/>
    <w:p w14:paraId="265A5253" w14:textId="77777777" w:rsidR="0098513A" w:rsidRDefault="0098513A" w:rsidP="0098513A">
      <w:pPr>
        <w:rPr>
          <w:lang w:val="en-GB" w:eastAsia="ja-JP"/>
        </w:rPr>
      </w:pPr>
    </w:p>
    <w:p w14:paraId="2D80A058" w14:textId="1D098BBF" w:rsidR="00F81888" w:rsidRDefault="00F81888" w:rsidP="00F81888">
      <w:pPr>
        <w:pStyle w:val="Heading2"/>
      </w:pPr>
      <w:r>
        <w:t>3.3</w:t>
      </w:r>
      <w:r>
        <w:tab/>
        <w:t>CSI-RS</w:t>
      </w:r>
    </w:p>
    <w:tbl>
      <w:tblPr>
        <w:tblStyle w:val="TableGrid"/>
        <w:tblW w:w="0" w:type="auto"/>
        <w:tblLook w:val="04A0" w:firstRow="1" w:lastRow="0" w:firstColumn="1" w:lastColumn="0" w:noHBand="0" w:noVBand="1"/>
      </w:tblPr>
      <w:tblGrid>
        <w:gridCol w:w="9629"/>
      </w:tblGrid>
      <w:tr w:rsidR="00F81888" w14:paraId="6623B92A" w14:textId="77777777" w:rsidTr="008033D4">
        <w:tc>
          <w:tcPr>
            <w:tcW w:w="9629" w:type="dxa"/>
          </w:tcPr>
          <w:p w14:paraId="6F8B4E2A" w14:textId="77777777" w:rsidR="00F81888" w:rsidRDefault="00F81888" w:rsidP="008033D4">
            <w:pPr>
              <w:rPr>
                <w:sz w:val="20"/>
              </w:rPr>
            </w:pPr>
            <w:r>
              <w:rPr>
                <w:sz w:val="20"/>
              </w:rPr>
              <w:t>From TR38.858</w:t>
            </w:r>
          </w:p>
          <w:p w14:paraId="4E429339" w14:textId="77777777" w:rsidR="00F81888" w:rsidRPr="00BD7BAF" w:rsidRDefault="00F81888" w:rsidP="008033D4">
            <w:pPr>
              <w:rPr>
                <w:rFonts w:ascii="Times New Roman" w:eastAsia="DengXian" w:hAnsi="Times New Roman" w:cs="Times New Roman"/>
                <w:szCs w:val="20"/>
                <w:lang w:val="en-GB"/>
              </w:rPr>
            </w:pPr>
            <w:r w:rsidRPr="00BD7BAF">
              <w:rPr>
                <w:rFonts w:ascii="Times New Roman" w:eastAsia="DengXian" w:hAnsi="Times New Roman" w:cs="Times New Roman" w:hint="eastAsia"/>
                <w:szCs w:val="20"/>
                <w:lang w:val="en-GB"/>
              </w:rPr>
              <w:t>F</w:t>
            </w:r>
            <w:r w:rsidRPr="00BD7BAF">
              <w:rPr>
                <w:rFonts w:ascii="Times New Roman" w:eastAsia="DengXian" w:hAnsi="Times New Roman" w:cs="Times New Roman"/>
                <w:szCs w:val="20"/>
                <w:lang w:val="en-GB"/>
              </w:rPr>
              <w:t>or</w:t>
            </w:r>
            <w:r w:rsidRPr="00BD7BAF">
              <w:rPr>
                <w:rFonts w:ascii="Times New Roman" w:eastAsia="DengXian" w:hAnsi="Times New Roman" w:cs="Times New Roman" w:hint="eastAsia"/>
                <w:szCs w:val="20"/>
                <w:lang w:val="en-GB"/>
              </w:rPr>
              <w:t xml:space="preserve"> semi-static SBFD, for</w:t>
            </w:r>
            <w:r w:rsidRPr="00BD7BAF">
              <w:rPr>
                <w:rFonts w:ascii="Times New Roman" w:eastAsia="DengXian" w:hAnsi="Times New Roman" w:cs="Times New Roman"/>
                <w:szCs w:val="20"/>
                <w:lang w:val="en-GB"/>
              </w:rPr>
              <w:t xml:space="preserve"> a CSI-RS resource which overlaps with SBFD subband boundaries, </w:t>
            </w:r>
            <w:r w:rsidRPr="00BD7BAF">
              <w:rPr>
                <w:rFonts w:ascii="Times New Roman" w:eastAsia="DengXian" w:hAnsi="Times New Roman" w:cs="Times New Roman" w:hint="eastAsia"/>
                <w:szCs w:val="20"/>
                <w:lang w:val="en-GB"/>
              </w:rPr>
              <w:t xml:space="preserve">it is agreed </w:t>
            </w:r>
            <w:r w:rsidRPr="00BD7BAF">
              <w:rPr>
                <w:rFonts w:ascii="Times New Roman" w:eastAsia="DengXian" w:hAnsi="Times New Roman" w:cs="Times New Roman"/>
                <w:szCs w:val="20"/>
                <w:lang w:val="en-GB"/>
              </w:rPr>
              <w:t>that only CSI-RS resources within DL subband(s) are valid</w:t>
            </w:r>
            <w:r w:rsidRPr="00BD7BAF">
              <w:rPr>
                <w:rFonts w:ascii="Times New Roman" w:eastAsia="DengXian" w:hAnsi="Times New Roman" w:cs="Times New Roman" w:hint="eastAsia"/>
                <w:szCs w:val="20"/>
                <w:lang w:val="en-GB"/>
              </w:rPr>
              <w:t xml:space="preserve"> for SBFD-aware UE</w:t>
            </w:r>
            <w:r w:rsidRPr="00BD7BAF">
              <w:rPr>
                <w:rFonts w:ascii="Times New Roman" w:eastAsia="DengXian" w:hAnsi="Times New Roman" w:cs="Times New Roman"/>
                <w:szCs w:val="20"/>
                <w:lang w:val="en-GB"/>
              </w:rPr>
              <w:t>.</w:t>
            </w:r>
            <w:r w:rsidRPr="00BD7BAF">
              <w:rPr>
                <w:rFonts w:ascii="Times New Roman" w:eastAsia="DengXian" w:hAnsi="Times New Roman" w:cs="Times New Roman" w:hint="eastAsia"/>
                <w:szCs w:val="20"/>
                <w:lang w:val="en-GB"/>
              </w:rPr>
              <w:t xml:space="preserve"> </w:t>
            </w:r>
          </w:p>
          <w:p w14:paraId="6B16D62F" w14:textId="77777777" w:rsidR="00F81888" w:rsidRPr="004634D8" w:rsidRDefault="00F81888" w:rsidP="008033D4">
            <w:pPr>
              <w:rPr>
                <w:rFonts w:ascii="Times" w:hAnsi="Times"/>
                <w:szCs w:val="24"/>
              </w:rPr>
            </w:pPr>
            <w:r w:rsidRPr="00BD7BAF">
              <w:rPr>
                <w:rFonts w:ascii="Times New Roman" w:eastAsia="DengXian" w:hAnsi="Times New Roman" w:cs="Times New Roman"/>
                <w:szCs w:val="20"/>
                <w:lang w:val="en-GB"/>
              </w:rPr>
              <w:t xml:space="preserve">For </w:t>
            </w:r>
            <w:r w:rsidRPr="00BD7BAF">
              <w:rPr>
                <w:rFonts w:ascii="Times New Roman" w:eastAsia="DengXian" w:hAnsi="Times New Roman" w:cs="Times New Roman" w:hint="eastAsia"/>
                <w:szCs w:val="20"/>
                <w:lang w:val="en-GB"/>
              </w:rPr>
              <w:t>semi-static SBFD, for</w:t>
            </w:r>
            <w:r w:rsidRPr="00BD7BAF">
              <w:rPr>
                <w:rFonts w:ascii="Times New Roman" w:eastAsia="DengXian" w:hAnsi="Times New Roman" w:cs="Times New Roman"/>
                <w:szCs w:val="20"/>
                <w:lang w:val="en-GB"/>
              </w:rPr>
              <w:t xml:space="preserve"> a CSI reporting subband which overlaps with SBFD subband boundaries, </w:t>
            </w:r>
            <w:r w:rsidRPr="00BD7BAF">
              <w:rPr>
                <w:rFonts w:ascii="Times New Roman" w:eastAsia="DengXian" w:hAnsi="Times New Roman" w:cs="Times New Roman" w:hint="eastAsia"/>
                <w:szCs w:val="20"/>
                <w:lang w:val="en-GB"/>
              </w:rPr>
              <w:t xml:space="preserve">it is agreed </w:t>
            </w:r>
            <w:r w:rsidRPr="00BD7BAF">
              <w:rPr>
                <w:rFonts w:ascii="Times New Roman" w:eastAsia="DengXian" w:hAnsi="Times New Roman" w:cs="Times New Roman"/>
                <w:szCs w:val="20"/>
                <w:lang w:val="en-GB"/>
              </w:rPr>
              <w:t>that</w:t>
            </w:r>
            <w:r w:rsidRPr="00BD7BAF">
              <w:rPr>
                <w:rFonts w:ascii="Times New Roman" w:eastAsia="DengXian" w:hAnsi="Times New Roman" w:cs="Times New Roman" w:hint="eastAsia"/>
                <w:szCs w:val="20"/>
                <w:lang w:val="en-GB"/>
              </w:rPr>
              <w:t xml:space="preserve"> </w:t>
            </w:r>
            <w:r w:rsidRPr="00BD7BAF">
              <w:rPr>
                <w:rFonts w:ascii="Times New Roman" w:eastAsia="DengXian" w:hAnsi="Times New Roman" w:cs="Times New Roman"/>
                <w:szCs w:val="20"/>
                <w:lang w:val="en-GB"/>
              </w:rPr>
              <w:t>CSI report is derived based on CSI-RS resources excluding CSI-RS resources outside DL subband(s)</w:t>
            </w:r>
            <w:r w:rsidRPr="00BD7BAF">
              <w:rPr>
                <w:rFonts w:ascii="Times New Roman" w:eastAsia="DengXian" w:hAnsi="Times New Roman" w:cs="Times New Roman" w:hint="eastAsia"/>
                <w:szCs w:val="20"/>
                <w:lang w:val="en-GB"/>
              </w:rPr>
              <w:t xml:space="preserve"> for SBFD-aware UE</w:t>
            </w:r>
            <w:r w:rsidRPr="00BD7BAF">
              <w:rPr>
                <w:rFonts w:ascii="Times New Roman" w:eastAsia="DengXian" w:hAnsi="Times New Roman" w:cs="Times New Roman"/>
                <w:szCs w:val="20"/>
                <w:lang w:val="en-GB"/>
              </w:rPr>
              <w:t>.</w:t>
            </w:r>
          </w:p>
        </w:tc>
      </w:tr>
    </w:tbl>
    <w:p w14:paraId="03837646" w14:textId="77777777" w:rsidR="00F81888" w:rsidRPr="008D6C22" w:rsidRDefault="00F81888" w:rsidP="00F81888"/>
    <w:p w14:paraId="655D1220" w14:textId="779D1E52" w:rsidR="00F81888" w:rsidRDefault="004118C5" w:rsidP="00F81888">
      <w:pPr>
        <w:pStyle w:val="Heading3"/>
      </w:pPr>
      <w:r>
        <w:t>3.3</w:t>
      </w:r>
      <w:r w:rsidR="00F81888">
        <w:t>.1 CSI-RS resource configuration</w:t>
      </w:r>
    </w:p>
    <w:p w14:paraId="3E8D4664" w14:textId="77777777" w:rsidR="00F81888" w:rsidRDefault="00F81888" w:rsidP="00F81888">
      <w:pPr>
        <w:jc w:val="both"/>
      </w:pPr>
      <w:r>
        <w:t xml:space="preserve">In current specifications, a UE may be configured with multiple CSI-RS resources, where the frequency domain resource allocation of a CSI-RS is restricted to occupy a contiguous set of RBs, which is defined by a starting RB and </w:t>
      </w:r>
      <w:proofErr w:type="gramStart"/>
      <w:r>
        <w:t>a number of</w:t>
      </w:r>
      <w:proofErr w:type="gramEnd"/>
      <w:r>
        <w:t xml:space="preserve"> RBs that can be as small as 24 and as large as 276 in </w:t>
      </w:r>
      <w:r w:rsidRPr="00CB7C18">
        <w:rPr>
          <w:rFonts w:ascii="Courier New" w:hAnsi="Courier New" w:cs="Courier New"/>
        </w:rPr>
        <w:t>CSI-</w:t>
      </w:r>
      <w:proofErr w:type="spellStart"/>
      <w:r w:rsidRPr="00CB7C18">
        <w:rPr>
          <w:rFonts w:ascii="Courier New" w:hAnsi="Courier New" w:cs="Courier New"/>
        </w:rPr>
        <w:t>FrequencyOccupation</w:t>
      </w:r>
      <w:proofErr w:type="spellEnd"/>
      <w:r w:rsidRPr="00CB7C18">
        <w:rPr>
          <w:rFonts w:ascii="Courier New" w:hAnsi="Courier New" w:cs="Courier New"/>
        </w:rPr>
        <w:t>.</w:t>
      </w:r>
      <w:r>
        <w:t xml:space="preserve"> Each configured CSI-RS resource has an associated ID </w:t>
      </w:r>
      <w:r w:rsidRPr="001C6B85">
        <w:rPr>
          <w:rFonts w:ascii="Courier New" w:hAnsi="Courier New" w:cs="Courier New"/>
        </w:rPr>
        <w:t>NZP-CSI-RS-</w:t>
      </w:r>
      <w:proofErr w:type="spellStart"/>
      <w:r w:rsidRPr="001C6B85">
        <w:rPr>
          <w:rFonts w:ascii="Courier New" w:hAnsi="Courier New" w:cs="Courier New"/>
        </w:rPr>
        <w:t>ResourceId</w:t>
      </w:r>
      <w:proofErr w:type="spellEnd"/>
      <w:r>
        <w:t xml:space="preserve"> which has index space of 0, 1, …, 191. In many cases, multiple CSI-RS resources are configured as part of a CSI-RS resource set, and measurements are performed based on the resources in the set. A set is constructed by providing a list of CSI-RS resource IDs. We inspect now different options discussed in TR38.858.</w:t>
      </w:r>
    </w:p>
    <w:tbl>
      <w:tblPr>
        <w:tblStyle w:val="TableGrid"/>
        <w:tblW w:w="0" w:type="auto"/>
        <w:tblLook w:val="04A0" w:firstRow="1" w:lastRow="0" w:firstColumn="1" w:lastColumn="0" w:noHBand="0" w:noVBand="1"/>
      </w:tblPr>
      <w:tblGrid>
        <w:gridCol w:w="9629"/>
      </w:tblGrid>
      <w:tr w:rsidR="00F81888" w14:paraId="128F64E2" w14:textId="77777777" w:rsidTr="008033D4">
        <w:tc>
          <w:tcPr>
            <w:tcW w:w="9629" w:type="dxa"/>
          </w:tcPr>
          <w:p w14:paraId="4CD25254" w14:textId="77777777" w:rsidR="00F81888" w:rsidRDefault="00F81888" w:rsidP="008033D4">
            <w:pPr>
              <w:rPr>
                <w:sz w:val="20"/>
              </w:rPr>
            </w:pPr>
            <w:r>
              <w:rPr>
                <w:sz w:val="20"/>
              </w:rPr>
              <w:t>From TR38.858:</w:t>
            </w:r>
          </w:p>
          <w:p w14:paraId="3BAD3EDA" w14:textId="77777777" w:rsidR="00F81888" w:rsidRPr="004634D8" w:rsidRDefault="00F81888" w:rsidP="008033D4">
            <w:pPr>
              <w:rPr>
                <w:rFonts w:ascii="Times New Roman" w:hAnsi="Times New Roman" w:cs="Times New Roman"/>
              </w:rPr>
            </w:pPr>
            <w:r w:rsidRPr="004634D8">
              <w:rPr>
                <w:rFonts w:ascii="Times New Roman" w:hAnsi="Times New Roman" w:cs="Times New Roman"/>
              </w:rPr>
              <w:t>Frequency resource allocation for CSI-RS</w:t>
            </w:r>
            <w:r w:rsidRPr="004634D8">
              <w:rPr>
                <w:rFonts w:ascii="Times New Roman" w:eastAsia="Malgun Gothic" w:hAnsi="Times New Roman" w:cs="Times New Roman"/>
              </w:rPr>
              <w:t xml:space="preserve"> </w:t>
            </w:r>
            <w:r w:rsidRPr="004634D8">
              <w:rPr>
                <w:rFonts w:ascii="Times New Roman" w:hAnsi="Times New Roman" w:cs="Times New Roman"/>
              </w:rPr>
              <w:t>across downlink subbands for SBFD-aware UEs are studied considering the following options:</w:t>
            </w:r>
          </w:p>
          <w:p w14:paraId="0050FEFA" w14:textId="77777777" w:rsidR="00F81888" w:rsidRPr="006B2A04" w:rsidRDefault="00F81888" w:rsidP="008033D4">
            <w:pPr>
              <w:pStyle w:val="B1"/>
            </w:pPr>
            <w:r w:rsidRPr="006B2A04">
              <w:t>-</w:t>
            </w:r>
            <w:r w:rsidRPr="006B2A04">
              <w:tab/>
              <w:t>Option 1: Two contiguous CSI-RS resources that are linked</w:t>
            </w:r>
          </w:p>
          <w:p w14:paraId="3E525EC3" w14:textId="77777777" w:rsidR="00F81888" w:rsidRPr="006B2A04" w:rsidRDefault="00F81888" w:rsidP="008033D4">
            <w:pPr>
              <w:pStyle w:val="B1"/>
            </w:pPr>
            <w:r w:rsidRPr="006B2A04">
              <w:t>-</w:t>
            </w:r>
            <w:r w:rsidRPr="006B2A04">
              <w:tab/>
              <w:t>Option 2: One CSI-RS resource</w:t>
            </w:r>
          </w:p>
          <w:p w14:paraId="790A438B" w14:textId="77777777" w:rsidR="00F81888" w:rsidRPr="006B2A04" w:rsidRDefault="00F81888" w:rsidP="008033D4">
            <w:pPr>
              <w:pStyle w:val="B2"/>
            </w:pPr>
            <w:r w:rsidRPr="006B2A04">
              <w:t>-</w:t>
            </w:r>
            <w:r w:rsidRPr="006B2A04">
              <w:tab/>
              <w:t>Option 2-1: Non-contiguous CSI-RS resource allocation</w:t>
            </w:r>
          </w:p>
          <w:p w14:paraId="19CE1885" w14:textId="77777777" w:rsidR="00F81888" w:rsidRDefault="00F81888" w:rsidP="004634D8">
            <w:pPr>
              <w:pStyle w:val="B2"/>
            </w:pPr>
            <w:r w:rsidRPr="006B2A04">
              <w:t>-</w:t>
            </w:r>
            <w:r w:rsidRPr="006B2A04">
              <w:tab/>
              <w:t xml:space="preserve">Option 2-2: One contiguous CSI-RS resource allocation with non-contiguous CSI-RS resource derived by excluding frequency resources outside DL subband (s) </w:t>
            </w:r>
          </w:p>
        </w:tc>
      </w:tr>
    </w:tbl>
    <w:p w14:paraId="221DFF48" w14:textId="77777777" w:rsidR="00F81888" w:rsidRDefault="00F81888" w:rsidP="00F81888"/>
    <w:p w14:paraId="5D7E31B8" w14:textId="6172A42C" w:rsidR="00F81888" w:rsidRPr="004634D8" w:rsidRDefault="00F81888" w:rsidP="004634D8">
      <w:pPr>
        <w:spacing w:before="100" w:beforeAutospacing="1" w:after="100" w:afterAutospacing="1" w:line="240" w:lineRule="auto"/>
        <w:jc w:val="both"/>
        <w:rPr>
          <w:color w:val="000000" w:themeColor="text1"/>
        </w:rPr>
      </w:pPr>
      <w:r>
        <w:t xml:space="preserve">In Option 1 above, a CSI-RS resource occupying non-contiguously in frequency domain is created by linking at least two CSI-RS resources each configured with contiguous allocation. The linked CSI-RS resource is then treated as a single CSI-RS resource for any purpose in which CSI-RS is used, e.g., CSI reporting, beam management, etc. </w:t>
      </w:r>
      <w:r>
        <w:rPr>
          <w:color w:val="000000" w:themeColor="text1"/>
        </w:rPr>
        <w:t xml:space="preserve">To facilitate this Option 1, it </w:t>
      </w:r>
      <w:r w:rsidR="00CB0357">
        <w:rPr>
          <w:color w:val="000000" w:themeColor="text1"/>
        </w:rPr>
        <w:t>may be</w:t>
      </w:r>
      <w:r>
        <w:rPr>
          <w:color w:val="000000" w:themeColor="text1"/>
        </w:rPr>
        <w:t xml:space="preserve"> required to partition the index space used for CSI-RS resource IDs into two subsets</w:t>
      </w:r>
      <w:r w:rsidR="00B82181">
        <w:rPr>
          <w:color w:val="000000" w:themeColor="text1"/>
        </w:rPr>
        <w:t xml:space="preserve"> with the </w:t>
      </w:r>
      <w:r>
        <w:rPr>
          <w:color w:val="000000" w:themeColor="text1"/>
        </w:rPr>
        <w:t xml:space="preserve">first subset </w:t>
      </w:r>
      <w:r w:rsidR="00A3696B">
        <w:rPr>
          <w:color w:val="000000" w:themeColor="text1"/>
        </w:rPr>
        <w:t>of IDs</w:t>
      </w:r>
      <w:r>
        <w:rPr>
          <w:color w:val="000000" w:themeColor="text1"/>
        </w:rPr>
        <w:t xml:space="preserve"> to </w:t>
      </w:r>
      <w:r>
        <w:t>index CSI-RS resources configured with contiguous frequency domain resource allocation as in Rel-17</w:t>
      </w:r>
      <w:r w:rsidR="00B42FF3">
        <w:t xml:space="preserve"> and the </w:t>
      </w:r>
      <w:r>
        <w:t>second subset of IDs to index the linked CSI-RS resources.</w:t>
      </w:r>
      <w:r w:rsidR="00B42FF3">
        <w:rPr>
          <w:color w:val="000000" w:themeColor="text1"/>
        </w:rPr>
        <w:t xml:space="preserve"> </w:t>
      </w:r>
      <w:r>
        <w:rPr>
          <w:color w:val="000000" w:themeColor="text1"/>
        </w:rPr>
        <w:t xml:space="preserve">Option 1 </w:t>
      </w:r>
      <w:r w:rsidR="00A4082D">
        <w:rPr>
          <w:color w:val="000000" w:themeColor="text1"/>
        </w:rPr>
        <w:t>can</w:t>
      </w:r>
      <w:r>
        <w:rPr>
          <w:color w:val="000000" w:themeColor="text1"/>
        </w:rPr>
        <w:t xml:space="preserve">not be readily supported in the existing specifications and hence requires additional signaling to inform the UE about linking two CSI-RS resources in two DL subbands, e.g., a new RRC parameter may be used to indicate the linked ID. Additionally, </w:t>
      </w:r>
      <w:r>
        <w:t>it is also important to account for the UE complexity in this context and discuss the UE capabilities in terms of handling the maximum number of configured CSI-RS resource and/or processing non-contiguous CSI-RS.</w:t>
      </w:r>
    </w:p>
    <w:p w14:paraId="4D46516F" w14:textId="6CBB548C" w:rsidR="00F81888" w:rsidRDefault="00F81888" w:rsidP="00F81888">
      <w:pPr>
        <w:pStyle w:val="Observation"/>
      </w:pPr>
      <w:bookmarkStart w:id="103" w:name="_Toc159243998"/>
      <w:r>
        <w:t>Given that Option 1 requires multiple CSI-RS resources</w:t>
      </w:r>
      <w:r w:rsidR="009278FF">
        <w:t xml:space="preserve"> and hence its feasibility</w:t>
      </w:r>
      <w:r w:rsidR="00285D8A">
        <w:t xml:space="preserve"> </w:t>
      </w:r>
      <w:r w:rsidR="001B65AB">
        <w:t>is</w:t>
      </w:r>
      <w:r w:rsidR="00285D8A">
        <w:t xml:space="preserve"> subject to the UE capabilities</w:t>
      </w:r>
      <w:r>
        <w:t xml:space="preserve"> with respect to the maximum number of configured CSI-RS resource</w:t>
      </w:r>
      <w:r w:rsidR="00580580">
        <w:t>s</w:t>
      </w:r>
      <w:r>
        <w:t xml:space="preserve"> and/or processing of non-contiguous CSI-RS.</w:t>
      </w:r>
      <w:bookmarkEnd w:id="103"/>
    </w:p>
    <w:p w14:paraId="1DAEF741" w14:textId="77777777" w:rsidR="00F81888" w:rsidRPr="00CD74DC" w:rsidRDefault="00F81888" w:rsidP="004634D8"/>
    <w:p w14:paraId="5C50299D" w14:textId="3A80147D" w:rsidR="00F81888" w:rsidRDefault="00F81888" w:rsidP="00F81888">
      <w:pPr>
        <w:jc w:val="both"/>
      </w:pPr>
      <w:r>
        <w:t>In Option 2-1, one CSI-RS resource is defined with non-contiguous frequency domain resource allocation (FDRA) rather than linking two resources as shown in</w:t>
      </w:r>
      <w:r w:rsidR="00E7135D">
        <w:t xml:space="preserve"> </w:t>
      </w:r>
      <w:r w:rsidR="00E7135D">
        <w:fldChar w:fldCharType="begin"/>
      </w:r>
      <w:r w:rsidR="00E7135D">
        <w:instrText xml:space="preserve"> REF _Ref159242451 \h </w:instrText>
      </w:r>
      <w:r w:rsidR="00E7135D">
        <w:fldChar w:fldCharType="separate"/>
      </w:r>
      <w:r w:rsidR="00D32653">
        <w:t xml:space="preserve">Figure </w:t>
      </w:r>
      <w:r w:rsidR="00D32653">
        <w:rPr>
          <w:noProof/>
        </w:rPr>
        <w:t>13</w:t>
      </w:r>
      <w:r w:rsidR="00E7135D">
        <w:fldChar w:fldCharType="end"/>
      </w:r>
      <w:r>
        <w:t xml:space="preserve">. This could be achieved by defining two </w:t>
      </w:r>
      <w:r>
        <w:lastRenderedPageBreak/>
        <w:t xml:space="preserve">starting PRB indices and use the existing length indicator (in </w:t>
      </w:r>
      <w:r w:rsidRPr="009574C8">
        <w:rPr>
          <w:rFonts w:ascii="Courier New" w:hAnsi="Courier New" w:cs="Courier New"/>
        </w:rPr>
        <w:t>CSI-</w:t>
      </w:r>
      <w:proofErr w:type="spellStart"/>
      <w:r w:rsidRPr="009574C8">
        <w:rPr>
          <w:rFonts w:ascii="Courier New" w:hAnsi="Courier New" w:cs="Courier New"/>
        </w:rPr>
        <w:t>FrequencyOccupation</w:t>
      </w:r>
      <w:proofErr w:type="spellEnd"/>
      <w:r w:rsidRPr="00501772">
        <w:rPr>
          <w:rFonts w:cs="Arial"/>
        </w:rPr>
        <w:t>)</w:t>
      </w:r>
      <w:r>
        <w:t xml:space="preserve"> to enable equal number of CSI-RS PRBs in each DL subband. Alternatively, for even more flexibility, two starting PRB indices and two lengths could be defined, i.e., a second instance of the parameter </w:t>
      </w:r>
      <w:r w:rsidRPr="009574C8">
        <w:rPr>
          <w:rFonts w:ascii="Courier New" w:hAnsi="Courier New" w:cs="Courier New"/>
        </w:rPr>
        <w:t>CSI-</w:t>
      </w:r>
      <w:proofErr w:type="spellStart"/>
      <w:r w:rsidRPr="009574C8">
        <w:rPr>
          <w:rFonts w:ascii="Courier New" w:hAnsi="Courier New" w:cs="Courier New"/>
        </w:rPr>
        <w:t>FrequencyOccupation</w:t>
      </w:r>
      <w:proofErr w:type="spellEnd"/>
      <w:r>
        <w:t>, which can be optional such that it is configured only for (Rel-19) SBFD-aware UEs. The second instance would provide second values of the starting RB and number of RBs corresponding to the second DL subband thus allowing the allocation of CSI-RS resources in the two non-contiguous DL subbands.</w:t>
      </w:r>
    </w:p>
    <w:p w14:paraId="0A59644C" w14:textId="77777777" w:rsidR="00F81888" w:rsidRDefault="00F81888" w:rsidP="00F81888">
      <w:pPr>
        <w:keepNext/>
        <w:jc w:val="center"/>
      </w:pPr>
      <w:r>
        <w:rPr>
          <w:noProof/>
        </w:rPr>
        <w:drawing>
          <wp:inline distT="0" distB="0" distL="0" distR="0" wp14:anchorId="4B06411F" wp14:editId="49FD2ADD">
            <wp:extent cx="2743200" cy="2231136"/>
            <wp:effectExtent l="0" t="0" r="0" b="0"/>
            <wp:docPr id="233" name="Picture 23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Picture 233" descr="A screen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231136"/>
                    </a:xfrm>
                    <a:prstGeom prst="rect">
                      <a:avLst/>
                    </a:prstGeom>
                    <a:noFill/>
                  </pic:spPr>
                </pic:pic>
              </a:graphicData>
            </a:graphic>
          </wp:inline>
        </w:drawing>
      </w:r>
    </w:p>
    <w:p w14:paraId="22697F8B" w14:textId="70BE00E7" w:rsidR="00F81888" w:rsidRDefault="00F81888" w:rsidP="00F81888">
      <w:pPr>
        <w:pStyle w:val="Caption"/>
        <w:jc w:val="center"/>
      </w:pPr>
      <w:bookmarkStart w:id="104" w:name="_Ref159242451"/>
      <w:r>
        <w:t xml:space="preserve">Figure </w:t>
      </w:r>
      <w:r>
        <w:fldChar w:fldCharType="begin"/>
      </w:r>
      <w:r>
        <w:instrText xml:space="preserve"> SEQ Figure \* ARABIC </w:instrText>
      </w:r>
      <w:r>
        <w:fldChar w:fldCharType="separate"/>
      </w:r>
      <w:r w:rsidR="00D32653">
        <w:rPr>
          <w:noProof/>
        </w:rPr>
        <w:t>13</w:t>
      </w:r>
      <w:r>
        <w:fldChar w:fldCharType="end"/>
      </w:r>
      <w:bookmarkEnd w:id="104"/>
      <w:r>
        <w:t>. Illustration of one CSI-RS resource with non-contiguous frequency domain resource allocation.</w:t>
      </w:r>
    </w:p>
    <w:p w14:paraId="7C2DB15E" w14:textId="77777777" w:rsidR="00E7135D" w:rsidRDefault="00E7135D" w:rsidP="00F81888">
      <w:pPr>
        <w:rPr>
          <w:color w:val="FF0000"/>
        </w:rPr>
      </w:pPr>
    </w:p>
    <w:p w14:paraId="2D690A63" w14:textId="6B88DA5A" w:rsidR="00F81888" w:rsidRDefault="00F81888" w:rsidP="00F81888">
      <w:pPr>
        <w:rPr>
          <w:lang w:eastAsia="ja-JP"/>
        </w:rPr>
      </w:pPr>
      <w:r>
        <w:rPr>
          <w:lang w:eastAsia="en-GB"/>
        </w:rPr>
        <w:t>As in Option 1, O</w:t>
      </w:r>
      <w:r w:rsidRPr="00835D78">
        <w:rPr>
          <w:lang w:eastAsia="en-GB"/>
        </w:rPr>
        <w:t xml:space="preserve">ption 2-1 </w:t>
      </w:r>
      <w:r>
        <w:rPr>
          <w:lang w:eastAsia="en-GB"/>
        </w:rPr>
        <w:t xml:space="preserve">also </w:t>
      </w:r>
      <w:r w:rsidRPr="00835D78">
        <w:rPr>
          <w:lang w:eastAsia="en-GB"/>
        </w:rPr>
        <w:t>requires new RRC structure</w:t>
      </w:r>
      <w:r>
        <w:rPr>
          <w:lang w:eastAsia="en-GB"/>
        </w:rPr>
        <w:t xml:space="preserve"> to facilitate the indication of</w:t>
      </w:r>
      <w:r w:rsidRPr="00835D78">
        <w:rPr>
          <w:lang w:eastAsia="en-GB"/>
        </w:rPr>
        <w:t xml:space="preserve"> non-contiguous RBs for one CSI-RS resource</w:t>
      </w:r>
      <w:r>
        <w:rPr>
          <w:lang w:eastAsia="en-GB"/>
        </w:rPr>
        <w:t xml:space="preserve"> from the gNB to the UE. </w:t>
      </w:r>
      <w:r w:rsidR="00D41C4A">
        <w:rPr>
          <w:lang w:eastAsia="en-GB"/>
        </w:rPr>
        <w:t>However</w:t>
      </w:r>
      <w:r>
        <w:rPr>
          <w:lang w:eastAsia="en-GB"/>
        </w:rPr>
        <w:t xml:space="preserve">, </w:t>
      </w:r>
      <w:r>
        <w:rPr>
          <w:lang w:eastAsia="ja-JP"/>
        </w:rPr>
        <w:t>Option 2-1 is advantageous due to its flexible CSI-RS allocation within each DL subband, i.e., arbitrary start and length within each subband can be supported.</w:t>
      </w:r>
    </w:p>
    <w:p w14:paraId="31C04165" w14:textId="77777777" w:rsidR="00F81888" w:rsidRDefault="00F81888" w:rsidP="00F81888">
      <w:pPr>
        <w:pStyle w:val="Observation"/>
      </w:pPr>
      <w:bookmarkStart w:id="105" w:name="_Toc159243999"/>
      <w:r>
        <w:t>Option 2-1 offers the most flexible CSI-RS resource allocation within the DL subband(s) and does not consume additional CSI-RS resources from the UE capability budget.</w:t>
      </w:r>
      <w:bookmarkEnd w:id="105"/>
    </w:p>
    <w:p w14:paraId="379999D5" w14:textId="77777777" w:rsidR="00F81888" w:rsidRDefault="00F81888" w:rsidP="00F81888">
      <w:pPr>
        <w:rPr>
          <w:lang w:eastAsia="en-GB"/>
        </w:rPr>
      </w:pPr>
    </w:p>
    <w:p w14:paraId="1AAF4790" w14:textId="06FE970C" w:rsidR="00F81888" w:rsidRDefault="00F81888" w:rsidP="00F81888">
      <w:pPr>
        <w:jc w:val="both"/>
      </w:pPr>
      <w:r>
        <w:rPr>
          <w:lang w:eastAsia="en-GB"/>
        </w:rPr>
        <w:t xml:space="preserve">In Option 2-2, </w:t>
      </w:r>
      <w:r>
        <w:t>o</w:t>
      </w:r>
      <w:r w:rsidRPr="006B2A04">
        <w:t>ne CSI-RS</w:t>
      </w:r>
      <w:r>
        <w:t xml:space="preserve"> is configured with contiguous resource allocation as in current specifications, but the SBFD-aware UE derives the</w:t>
      </w:r>
      <w:r w:rsidRPr="006B2A04">
        <w:t xml:space="preserve"> </w:t>
      </w:r>
      <w:r>
        <w:t>corresponding</w:t>
      </w:r>
      <w:r w:rsidRPr="006B2A04">
        <w:t xml:space="preserve"> non-contiguous CSI-RS resource by excluding frequency resources outside DL subband (s)</w:t>
      </w:r>
      <w:r>
        <w:t xml:space="preserve"> by leveraging the configuration of SBFD allocation. While this is transparent to the legacy UEs, the SBFD-aware UE interprets the RBs that intersect with the UL </w:t>
      </w:r>
      <w:proofErr w:type="spellStart"/>
      <w:r>
        <w:t>subband</w:t>
      </w:r>
      <w:proofErr w:type="spellEnd"/>
      <w:r>
        <w:t xml:space="preserve"> and the </w:t>
      </w:r>
      <w:proofErr w:type="spellStart"/>
      <w:r>
        <w:t>guardbands</w:t>
      </w:r>
      <w:proofErr w:type="spellEnd"/>
      <w:r>
        <w:t xml:space="preserve">, if any, are not available for CSI-RS. </w:t>
      </w:r>
      <w:r w:rsidR="006D38E2">
        <w:t xml:space="preserve">Option 2-2 is beneficial in some situations, e.g., for periodic CSI-RS in the case that different instances occur in SBFD or non-SBFD symbol(s) in different </w:t>
      </w:r>
      <w:proofErr w:type="gramStart"/>
      <w:r w:rsidR="006D38E2">
        <w:t>slots</w:t>
      </w:r>
      <w:proofErr w:type="gramEnd"/>
    </w:p>
    <w:p w14:paraId="6468BC11" w14:textId="059FAC24" w:rsidR="00F81888" w:rsidRDefault="00F81888" w:rsidP="00F81888">
      <w:pPr>
        <w:pStyle w:val="Proposal"/>
        <w:tabs>
          <w:tab w:val="clear" w:pos="1304"/>
        </w:tabs>
        <w:ind w:left="1701" w:hanging="1701"/>
      </w:pPr>
      <w:bookmarkStart w:id="106" w:name="_Toc159244025"/>
      <w:r>
        <w:t xml:space="preserve">For CSI-RS resource configuration, </w:t>
      </w:r>
      <w:r w:rsidR="00CA3399">
        <w:t xml:space="preserve">while </w:t>
      </w:r>
      <w:r w:rsidR="00D71AEF">
        <w:t xml:space="preserve">both </w:t>
      </w:r>
      <w:r w:rsidR="00CA3399">
        <w:t xml:space="preserve">Options 2-1 and 2-2 </w:t>
      </w:r>
      <w:r w:rsidR="00B76579">
        <w:t xml:space="preserve">are </w:t>
      </w:r>
      <w:r w:rsidR="00D34AA9">
        <w:t>available</w:t>
      </w:r>
      <w:r w:rsidR="009E7800">
        <w:t xml:space="preserve"> </w:t>
      </w:r>
      <w:r w:rsidR="00067C20">
        <w:t>under</w:t>
      </w:r>
      <w:r w:rsidR="009E7800">
        <w:t xml:space="preserve"> o</w:t>
      </w:r>
      <w:r w:rsidR="00C2321F">
        <w:t xml:space="preserve">ne CSI-RS resource configuration, </w:t>
      </w:r>
      <w:r>
        <w:t>Option 2-1 is preferred due to its flexibility and the minor specification impact.</w:t>
      </w:r>
      <w:bookmarkEnd w:id="106"/>
      <w:r>
        <w:t xml:space="preserve"> </w:t>
      </w:r>
    </w:p>
    <w:p w14:paraId="2758038A" w14:textId="77777777" w:rsidR="00F81888" w:rsidRPr="007664D0" w:rsidRDefault="00F81888" w:rsidP="00F81888">
      <w:pPr>
        <w:rPr>
          <w:lang w:eastAsia="en-GB"/>
        </w:rPr>
      </w:pPr>
    </w:p>
    <w:p w14:paraId="768C8724" w14:textId="35DDEED2" w:rsidR="00F81888" w:rsidRDefault="004118C5" w:rsidP="00F81888">
      <w:pPr>
        <w:pStyle w:val="Heading3"/>
      </w:pPr>
      <w:r>
        <w:t>3.3.</w:t>
      </w:r>
      <w:r w:rsidR="00F81888">
        <w:t>2 CSI report configuration</w:t>
      </w:r>
    </w:p>
    <w:p w14:paraId="08297142" w14:textId="77777777" w:rsidR="00F81888" w:rsidRDefault="00F81888" w:rsidP="00E7135D">
      <w:pPr>
        <w:rPr>
          <w:lang w:val="en-GB" w:eastAsia="ja-JP"/>
        </w:rPr>
      </w:pPr>
    </w:p>
    <w:p w14:paraId="38EAAA26" w14:textId="77777777" w:rsidR="00F81888" w:rsidRDefault="00F81888" w:rsidP="004634D8">
      <w:pPr>
        <w:jc w:val="both"/>
      </w:pPr>
      <w:r w:rsidRPr="004634D8">
        <w:t>For CSI reporting, a UE can be configured via higher layer signaling with one out of two possible subband sizes</w:t>
      </w:r>
      <w:r>
        <w:t xml:space="preserve">, depending on the total number of PRBs in the bandwidth part. </w:t>
      </w:r>
      <w:r w:rsidRPr="000A1892">
        <w:t xml:space="preserve">The </w:t>
      </w:r>
      <w:proofErr w:type="spellStart"/>
      <w:r w:rsidRPr="004634D8">
        <w:rPr>
          <w:i/>
        </w:rPr>
        <w:t>reportFreqConfiguration</w:t>
      </w:r>
      <w:proofErr w:type="spellEnd"/>
      <w:r w:rsidRPr="000A1892">
        <w:t xml:space="preserve"> contained in a </w:t>
      </w:r>
      <w:r w:rsidRPr="004634D8">
        <w:rPr>
          <w:i/>
        </w:rPr>
        <w:t>CSI-</w:t>
      </w:r>
      <w:proofErr w:type="spellStart"/>
      <w:r w:rsidRPr="004634D8">
        <w:rPr>
          <w:i/>
        </w:rPr>
        <w:t>ReportConfig</w:t>
      </w:r>
      <w:proofErr w:type="spellEnd"/>
      <w:r w:rsidRPr="000A1892">
        <w:t xml:space="preserve"> indicates the frequency granularity of the CSI Report</w:t>
      </w:r>
      <w:r>
        <w:t xml:space="preserve"> via the </w:t>
      </w:r>
      <w:proofErr w:type="spellStart"/>
      <w:r w:rsidRPr="004634D8">
        <w:rPr>
          <w:i/>
        </w:rPr>
        <w:t>csi-ReportingBand</w:t>
      </w:r>
      <w:proofErr w:type="spellEnd"/>
      <w:r>
        <w:t xml:space="preserve"> as a contiguous or non-contiguous subset of subbands in the bandwidth part for which CSI shall be reported. This </w:t>
      </w:r>
      <w:r>
        <w:lastRenderedPageBreak/>
        <w:t>can be leveraged by the gNB to obtain the CSI corresponding to the two DL subbands that are non-contiguous from the UE.</w:t>
      </w:r>
    </w:p>
    <w:p w14:paraId="1D8E3DFC" w14:textId="77777777" w:rsidR="00F81888" w:rsidRDefault="00F81888" w:rsidP="00F81888">
      <w:pPr>
        <w:pStyle w:val="Observation"/>
      </w:pPr>
      <w:bookmarkStart w:id="107" w:name="_Toc159244000"/>
      <w:r w:rsidRPr="00600815">
        <w:t xml:space="preserve">By explicitly configuring </w:t>
      </w:r>
      <w:proofErr w:type="spellStart"/>
      <w:r w:rsidRPr="00600815">
        <w:t>csi-ReportingBand</w:t>
      </w:r>
      <w:proofErr w:type="spellEnd"/>
      <w:r w:rsidRPr="00600815">
        <w:t xml:space="preserve"> in the </w:t>
      </w:r>
      <w:proofErr w:type="spellStart"/>
      <w:r w:rsidRPr="00600815">
        <w:t>reportFreqConfiguration</w:t>
      </w:r>
      <w:proofErr w:type="spellEnd"/>
      <w:r w:rsidRPr="00600815">
        <w:t>, the gNB can request the UE to report the CSI for the contiguous or non-contiguous subset of subbands in the bandwidth part.</w:t>
      </w:r>
      <w:bookmarkEnd w:id="107"/>
    </w:p>
    <w:p w14:paraId="74ECBFA4" w14:textId="77777777" w:rsidR="00F81888" w:rsidRPr="009B1C44" w:rsidRDefault="00F81888" w:rsidP="00F81888"/>
    <w:tbl>
      <w:tblPr>
        <w:tblStyle w:val="TableGrid"/>
        <w:tblW w:w="0" w:type="auto"/>
        <w:tblLook w:val="04A0" w:firstRow="1" w:lastRow="0" w:firstColumn="1" w:lastColumn="0" w:noHBand="0" w:noVBand="1"/>
      </w:tblPr>
      <w:tblGrid>
        <w:gridCol w:w="9629"/>
      </w:tblGrid>
      <w:tr w:rsidR="00F81888" w14:paraId="68F7921A" w14:textId="77777777" w:rsidTr="008033D4">
        <w:tc>
          <w:tcPr>
            <w:tcW w:w="9629" w:type="dxa"/>
          </w:tcPr>
          <w:p w14:paraId="3980E147" w14:textId="77777777" w:rsidR="00F81888" w:rsidRDefault="00F81888" w:rsidP="008033D4">
            <w:pPr>
              <w:rPr>
                <w:sz w:val="20"/>
                <w:lang w:val="en-GB" w:eastAsia="ja-JP"/>
              </w:rPr>
            </w:pPr>
            <w:r>
              <w:rPr>
                <w:sz w:val="20"/>
                <w:lang w:val="en-GB" w:eastAsia="ja-JP"/>
              </w:rPr>
              <w:t>From TR.38858:</w:t>
            </w:r>
          </w:p>
          <w:p w14:paraId="204F2D72" w14:textId="77777777" w:rsidR="00F81888" w:rsidRPr="00B5120D" w:rsidRDefault="00F81888" w:rsidP="008033D4">
            <w:pPr>
              <w:rPr>
                <w:rFonts w:ascii="Times New Roman" w:hAnsi="Times New Roman" w:cs="Times New Roman"/>
              </w:rPr>
            </w:pPr>
            <w:r w:rsidRPr="00B5120D">
              <w:rPr>
                <w:rFonts w:ascii="Times New Roman" w:hAnsi="Times New Roman" w:cs="Times New Roman"/>
              </w:rPr>
              <w:t xml:space="preserve">For SBFD-aware UEs, the following options are studied for CSI report associated with periodic/semi-persistent CSI-RS, </w:t>
            </w:r>
            <w:r w:rsidRPr="00B5120D">
              <w:rPr>
                <w:rFonts w:ascii="Times New Roman" w:eastAsia="Malgun Gothic" w:hAnsi="Times New Roman" w:cs="Times New Roman"/>
              </w:rPr>
              <w:t>in case the periodicity is such that CSI-RS instances occur in both</w:t>
            </w:r>
            <w:r w:rsidRPr="00B5120D">
              <w:rPr>
                <w:rFonts w:ascii="Times New Roman" w:hAnsi="Times New Roman" w:cs="Times New Roman"/>
              </w:rPr>
              <w:t xml:space="preserve"> SBFD symbols and non-SBFD symbols in different slots (each CSI-RS resource within a slot has either all SBFD or all non-SBFD symbols):</w:t>
            </w:r>
          </w:p>
          <w:p w14:paraId="188F414A" w14:textId="77777777" w:rsidR="00F81888" w:rsidRPr="00B5120D" w:rsidRDefault="00F81888" w:rsidP="008033D4">
            <w:pPr>
              <w:pStyle w:val="B1"/>
              <w:rPr>
                <w:rFonts w:cs="Times New Roman"/>
              </w:rPr>
            </w:pPr>
            <w:r w:rsidRPr="00B5120D">
              <w:rPr>
                <w:rFonts w:cs="Times New Roman"/>
              </w:rPr>
              <w:t>-</w:t>
            </w:r>
            <w:r w:rsidRPr="00B5120D">
              <w:rPr>
                <w:rFonts w:cs="Times New Roman"/>
              </w:rPr>
              <w:tab/>
              <w:t xml:space="preserve">Option 1: two </w:t>
            </w:r>
            <w:r w:rsidRPr="00B5120D">
              <w:rPr>
                <w:rFonts w:cs="Times New Roman"/>
                <w:i/>
                <w:iCs/>
              </w:rPr>
              <w:t>CSI-</w:t>
            </w:r>
            <w:proofErr w:type="spellStart"/>
            <w:r w:rsidRPr="00B5120D">
              <w:rPr>
                <w:rFonts w:cs="Times New Roman"/>
                <w:i/>
                <w:iCs/>
              </w:rPr>
              <w:t>ReportConfig</w:t>
            </w:r>
            <w:r w:rsidRPr="00B5120D">
              <w:rPr>
                <w:rFonts w:cs="Times New Roman"/>
                <w:iCs/>
              </w:rPr>
              <w:t>s</w:t>
            </w:r>
            <w:proofErr w:type="spellEnd"/>
            <w:r w:rsidRPr="00B5120D">
              <w:rPr>
                <w:rFonts w:cs="Times New Roman"/>
                <w:i/>
                <w:iCs/>
              </w:rPr>
              <w:t xml:space="preserve">, </w:t>
            </w:r>
            <w:r w:rsidRPr="00B5120D">
              <w:rPr>
                <w:rFonts w:cs="Times New Roman"/>
              </w:rPr>
              <w:t>where one is associated with SBFD symbols and the other is associated with non-SBFD symbols</w:t>
            </w:r>
          </w:p>
          <w:p w14:paraId="4AC86350" w14:textId="77777777" w:rsidR="00F81888" w:rsidRPr="00B5120D" w:rsidRDefault="00F81888" w:rsidP="008033D4">
            <w:pPr>
              <w:pStyle w:val="B2"/>
              <w:rPr>
                <w:rFonts w:cs="Times New Roman"/>
              </w:rPr>
            </w:pPr>
            <w:r w:rsidRPr="00B5120D">
              <w:rPr>
                <w:rFonts w:cs="Times New Roman"/>
              </w:rPr>
              <w:t>-</w:t>
            </w:r>
            <w:r w:rsidRPr="00B5120D">
              <w:rPr>
                <w:rFonts w:cs="Times New Roman"/>
              </w:rPr>
              <w:tab/>
              <w:t xml:space="preserve">Option 1-1: One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associated with a CSI-RS restricted to SBFD symbols only and the second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associated with a second CSI-RS restricted to non-SBFD symbols only;</w:t>
            </w:r>
          </w:p>
          <w:p w14:paraId="0496CD15" w14:textId="77777777" w:rsidR="00F81888" w:rsidRPr="00B5120D" w:rsidRDefault="00F81888" w:rsidP="008033D4">
            <w:pPr>
              <w:pStyle w:val="B2"/>
              <w:rPr>
                <w:rFonts w:cs="Times New Roman"/>
              </w:rPr>
            </w:pPr>
            <w:r w:rsidRPr="00B5120D">
              <w:rPr>
                <w:rFonts w:cs="Times New Roman"/>
              </w:rPr>
              <w:t>-</w:t>
            </w:r>
            <w:r w:rsidRPr="00B5120D">
              <w:rPr>
                <w:rFonts w:cs="Times New Roman"/>
              </w:rPr>
              <w:tab/>
              <w:t xml:space="preserve">Option 1-2: Both </w:t>
            </w:r>
            <w:r w:rsidRPr="00B5120D">
              <w:rPr>
                <w:rFonts w:cs="Times New Roman"/>
                <w:i/>
                <w:iCs/>
              </w:rPr>
              <w:t>CSI-</w:t>
            </w:r>
            <w:proofErr w:type="spellStart"/>
            <w:r w:rsidRPr="00B5120D">
              <w:rPr>
                <w:rFonts w:cs="Times New Roman"/>
                <w:i/>
                <w:iCs/>
              </w:rPr>
              <w:t>ReportConfig</w:t>
            </w:r>
            <w:r w:rsidRPr="00B5120D">
              <w:rPr>
                <w:rFonts w:cs="Times New Roman"/>
                <w:iCs/>
              </w:rPr>
              <w:t>s</w:t>
            </w:r>
            <w:proofErr w:type="spellEnd"/>
            <w:r w:rsidRPr="00B5120D">
              <w:rPr>
                <w:rFonts w:cs="Times New Roman"/>
              </w:rPr>
              <w:t xml:space="preserve"> are associated with the same CSI-RS. The CSI report associated with one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derived based on CSI-RS instances in SBFD symbols only. The CSI report associated with the second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derived based on CSI-RS instances in non-SBFD symbols only.</w:t>
            </w:r>
          </w:p>
          <w:p w14:paraId="28464A04" w14:textId="77777777" w:rsidR="00F81888" w:rsidRPr="00B5120D" w:rsidRDefault="00F81888" w:rsidP="008033D4">
            <w:pPr>
              <w:pStyle w:val="B1"/>
              <w:rPr>
                <w:rFonts w:cs="Times New Roman"/>
              </w:rPr>
            </w:pPr>
            <w:r w:rsidRPr="00B5120D">
              <w:rPr>
                <w:rFonts w:cs="Times New Roman"/>
              </w:rPr>
              <w:t>-</w:t>
            </w:r>
            <w:r w:rsidRPr="00B5120D">
              <w:rPr>
                <w:rFonts w:cs="Times New Roman"/>
              </w:rPr>
              <w:tab/>
              <w:t xml:space="preserve">Option 2: one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associated with both SBFD symbols and non-SBFD symbols</w:t>
            </w:r>
          </w:p>
          <w:p w14:paraId="2B923573" w14:textId="77777777" w:rsidR="00F81888" w:rsidRPr="00B5120D" w:rsidRDefault="00F81888" w:rsidP="008033D4">
            <w:pPr>
              <w:pStyle w:val="B2"/>
              <w:rPr>
                <w:rFonts w:cs="Times New Roman"/>
              </w:rPr>
            </w:pPr>
            <w:r w:rsidRPr="00B5120D">
              <w:rPr>
                <w:rFonts w:cs="Times New Roman"/>
              </w:rPr>
              <w:t>-</w:t>
            </w:r>
            <w:r w:rsidRPr="00B5120D">
              <w:rPr>
                <w:rFonts w:cs="Times New Roman"/>
              </w:rPr>
              <w:tab/>
              <w:t xml:space="preserve">Option 2-1: One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associated with two CSI-RSs which are restricted to SBFD symbols and non-SBFD symbols respectively. Separate CSI measurements are derived based on the first and second CSI-RSs respectively.</w:t>
            </w:r>
          </w:p>
          <w:p w14:paraId="231946E2" w14:textId="77777777" w:rsidR="00F81888" w:rsidRPr="00B5120D" w:rsidRDefault="00F81888" w:rsidP="008033D4">
            <w:pPr>
              <w:pStyle w:val="B2"/>
              <w:rPr>
                <w:rFonts w:cs="Times New Roman"/>
              </w:rPr>
            </w:pPr>
            <w:r w:rsidRPr="00B5120D">
              <w:rPr>
                <w:rFonts w:cs="Times New Roman"/>
              </w:rPr>
              <w:t>-</w:t>
            </w:r>
            <w:r w:rsidRPr="00B5120D">
              <w:rPr>
                <w:rFonts w:cs="Times New Roman"/>
              </w:rPr>
              <w:tab/>
              <w:t xml:space="preserve">Option 2-2: One </w:t>
            </w:r>
            <w:r w:rsidRPr="00B5120D">
              <w:rPr>
                <w:rFonts w:cs="Times New Roman"/>
                <w:i/>
                <w:iCs/>
              </w:rPr>
              <w:t>CSI-</w:t>
            </w:r>
            <w:proofErr w:type="spellStart"/>
            <w:r w:rsidRPr="00B5120D">
              <w:rPr>
                <w:rFonts w:cs="Times New Roman"/>
                <w:i/>
                <w:iCs/>
              </w:rPr>
              <w:t>ReportConfig</w:t>
            </w:r>
            <w:proofErr w:type="spellEnd"/>
            <w:r w:rsidRPr="00B5120D">
              <w:rPr>
                <w:rFonts w:cs="Times New Roman"/>
              </w:rPr>
              <w:t xml:space="preserve"> is associated with one CSI-RS. The CSI report is derived based on CSI-RS which can be in SBFD symbols or non-SBFD symbols in different time instances.</w:t>
            </w:r>
          </w:p>
          <w:p w14:paraId="1BC1183B" w14:textId="77777777" w:rsidR="00F81888" w:rsidRPr="00B5120D" w:rsidRDefault="00F81888" w:rsidP="008033D4">
            <w:pPr>
              <w:rPr>
                <w:rFonts w:ascii="Times New Roman" w:hAnsi="Times New Roman" w:cs="Times New Roman"/>
              </w:rPr>
            </w:pPr>
            <w:r w:rsidRPr="00B5120D">
              <w:rPr>
                <w:rFonts w:ascii="Times New Roman" w:hAnsi="Times New Roman" w:cs="Times New Roman"/>
              </w:rPr>
              <w:t xml:space="preserve">Note that whether the CSI-RS resource can be used for SBFD and non-SBFD symbols may depend on, e.g., gNB implementation of same/different </w:t>
            </w:r>
            <w:r w:rsidRPr="00B5120D">
              <w:rPr>
                <w:rFonts w:ascii="Times New Roman" w:eastAsia="Batang" w:hAnsi="Times New Roman" w:cs="Times New Roman"/>
              </w:rPr>
              <w:t>antenna configuration</w:t>
            </w:r>
            <w:r w:rsidRPr="00B5120D">
              <w:rPr>
                <w:rFonts w:ascii="Times New Roman" w:hAnsi="Times New Roman" w:cs="Times New Roman"/>
              </w:rPr>
              <w:t xml:space="preserve"> in both symbols.</w:t>
            </w:r>
          </w:p>
          <w:p w14:paraId="59CB57E3" w14:textId="77777777" w:rsidR="00F81888" w:rsidRDefault="00F81888" w:rsidP="008033D4">
            <w:pPr>
              <w:rPr>
                <w:lang w:val="en-GB" w:eastAsia="ja-JP"/>
              </w:rPr>
            </w:pPr>
          </w:p>
        </w:tc>
      </w:tr>
    </w:tbl>
    <w:p w14:paraId="7CACEC33" w14:textId="77777777" w:rsidR="00F81888" w:rsidRPr="009F28C3" w:rsidRDefault="00F81888" w:rsidP="00F81888">
      <w:pPr>
        <w:jc w:val="both"/>
        <w:rPr>
          <w:b/>
          <w:lang w:eastAsia="ja-JP"/>
        </w:rPr>
      </w:pPr>
    </w:p>
    <w:p w14:paraId="10EE4AEE" w14:textId="3D302A4E" w:rsidR="00F81888" w:rsidRDefault="00F81888" w:rsidP="00F81888">
      <w:pPr>
        <w:pStyle w:val="BodyText"/>
      </w:pPr>
      <w:r>
        <w:t>We note from the above that</w:t>
      </w:r>
      <w:r w:rsidR="00751142">
        <w:t xml:space="preserve">, </w:t>
      </w:r>
      <w:r>
        <w:t>two of the options 1-1 and 2-2 can be supported</w:t>
      </w:r>
      <w:r w:rsidR="00751142">
        <w:t xml:space="preserve"> based on the existing specifications</w:t>
      </w:r>
      <w:r>
        <w:t>. To facilitate Option 1-1, the gNB needs a) to ensure by appropriate configuration that  the CSI-RS associated with each CSI-</w:t>
      </w:r>
      <w:proofErr w:type="spellStart"/>
      <w:r>
        <w:t>ReportConfig</w:t>
      </w:r>
      <w:proofErr w:type="spellEnd"/>
      <w:r>
        <w:t xml:space="preserve"> is confined to either SBFD symbols or non-SBFD symbols only.</w:t>
      </w:r>
    </w:p>
    <w:p w14:paraId="351DD14E" w14:textId="76744535" w:rsidR="00F81888" w:rsidRDefault="00F81888" w:rsidP="00334A98">
      <w:pPr>
        <w:pStyle w:val="Proposal"/>
      </w:pPr>
      <w:bookmarkStart w:id="108" w:name="_Toc159244026"/>
      <w:r>
        <w:t xml:space="preserve">For SBFD-aware UEs, </w:t>
      </w:r>
      <w:r w:rsidR="00977C52">
        <w:t xml:space="preserve">consider </w:t>
      </w:r>
      <w:proofErr w:type="gramStart"/>
      <w:r w:rsidR="00977C52">
        <w:t>to support</w:t>
      </w:r>
      <w:proofErr w:type="gramEnd"/>
      <w:r w:rsidR="00977C52">
        <w:t xml:space="preserve"> option 1-1 and 2-2 </w:t>
      </w:r>
      <w:r w:rsidRPr="00C953D2">
        <w:t>for CSI report</w:t>
      </w:r>
      <w:r w:rsidR="00977C52">
        <w:t xml:space="preserve"> configuration.</w:t>
      </w:r>
      <w:bookmarkEnd w:id="108"/>
      <w:r w:rsidR="00977C52">
        <w:t xml:space="preserve"> </w:t>
      </w:r>
      <w:r w:rsidRPr="00C953D2">
        <w:t xml:space="preserve"> </w:t>
      </w:r>
    </w:p>
    <w:p w14:paraId="2C846439" w14:textId="77777777" w:rsidR="00F81888" w:rsidRDefault="00F81888" w:rsidP="00D178FC">
      <w:pPr>
        <w:rPr>
          <w:color w:val="FF0000"/>
        </w:rPr>
      </w:pPr>
    </w:p>
    <w:p w14:paraId="6AC98680" w14:textId="34E95AED" w:rsidR="00293F22" w:rsidRDefault="00286B5E" w:rsidP="00293F22">
      <w:pPr>
        <w:pStyle w:val="Heading2"/>
      </w:pPr>
      <w:r>
        <w:rPr>
          <w:lang w:val="en-US"/>
        </w:rPr>
        <w:t>3.</w:t>
      </w:r>
      <w:r w:rsidR="00713945">
        <w:rPr>
          <w:lang w:val="en-US"/>
        </w:rPr>
        <w:t>4</w:t>
      </w:r>
      <w:r w:rsidR="00293F22">
        <w:tab/>
        <w:t>PUCCH</w:t>
      </w:r>
    </w:p>
    <w:p w14:paraId="6EDE9299" w14:textId="77777777" w:rsidR="00293F22" w:rsidRDefault="00293F22" w:rsidP="00293F22">
      <w:pPr>
        <w:pStyle w:val="BodyText"/>
      </w:pPr>
      <w:r>
        <w:t xml:space="preserve">In TR 38.858 the following paragraph states that the following two options are considered for UL transmissions </w:t>
      </w:r>
      <w:r w:rsidRPr="00764F11">
        <w:t>across SBFD symbols and non-SBFD symbols in different slots</w:t>
      </w:r>
      <w:r>
        <w:t>.</w:t>
      </w:r>
    </w:p>
    <w:tbl>
      <w:tblPr>
        <w:tblStyle w:val="TableGrid"/>
        <w:tblW w:w="0" w:type="auto"/>
        <w:tblLook w:val="04A0" w:firstRow="1" w:lastRow="0" w:firstColumn="1" w:lastColumn="0" w:noHBand="0" w:noVBand="1"/>
      </w:tblPr>
      <w:tblGrid>
        <w:gridCol w:w="9629"/>
      </w:tblGrid>
      <w:tr w:rsidR="00293F22" w14:paraId="158F018B" w14:textId="77777777" w:rsidTr="00805786">
        <w:tc>
          <w:tcPr>
            <w:tcW w:w="0" w:type="auto"/>
          </w:tcPr>
          <w:p w14:paraId="6BAAEC8B" w14:textId="77777777" w:rsidR="00293F22" w:rsidRDefault="00293F22" w:rsidP="00805786">
            <w:pPr>
              <w:spacing w:beforeLines="50" w:before="120" w:after="180" w:line="240" w:lineRule="auto"/>
              <w:rPr>
                <w:rFonts w:ascii="Times New Roman" w:eastAsia="DengXian" w:hAnsi="Times New Roman" w:cs="Times New Roman"/>
                <w:szCs w:val="20"/>
                <w:lang w:val="en-GB"/>
              </w:rPr>
            </w:pPr>
            <w:bookmarkStart w:id="109" w:name="_Hlk157416447"/>
            <w:r>
              <w:rPr>
                <w:rFonts w:ascii="Times New Roman" w:eastAsia="DengXian" w:hAnsi="Times New Roman" w:cs="Times New Roman"/>
                <w:szCs w:val="20"/>
                <w:lang w:val="en-GB"/>
              </w:rPr>
              <w:t>TR 38.858:</w:t>
            </w:r>
          </w:p>
          <w:p w14:paraId="17417F2B" w14:textId="77777777" w:rsidR="00293F22" w:rsidRPr="00764F11" w:rsidRDefault="00293F22" w:rsidP="00805786">
            <w:pPr>
              <w:spacing w:after="180" w:line="240" w:lineRule="auto"/>
              <w:rPr>
                <w:rFonts w:ascii="Times New Roman" w:eastAsia="DengXian" w:hAnsi="Times New Roman" w:cs="Times New Roman"/>
                <w:szCs w:val="20"/>
                <w:lang w:val="en-GB"/>
              </w:rPr>
            </w:pPr>
            <w:r w:rsidRPr="00764F11">
              <w:rPr>
                <w:rFonts w:ascii="Times New Roman" w:eastAsia="DengXian" w:hAnsi="Times New Roman" w:cs="Times New Roman"/>
                <w:szCs w:val="20"/>
                <w:lang w:val="en-GB"/>
              </w:rPr>
              <w:lastRenderedPageBreak/>
              <w:t>For UL transmissions and DL receptions across SBFD symbols and non-SBFD symbols in different slots (each transmission/reception within a slot has either all SBFD or all non-SBFD symbols)</w:t>
            </w:r>
            <w:r w:rsidRPr="00764F11">
              <w:rPr>
                <w:rFonts w:ascii="Times New Roman" w:eastAsia="DengXian" w:hAnsi="Times New Roman" w:cs="Times New Roman" w:hint="eastAsia"/>
                <w:szCs w:val="20"/>
                <w:lang w:val="en-GB"/>
              </w:rPr>
              <w:t xml:space="preserve">, the </w:t>
            </w:r>
            <w:r w:rsidRPr="00764F11">
              <w:rPr>
                <w:rFonts w:ascii="Times New Roman" w:eastAsia="DengXian" w:hAnsi="Times New Roman" w:cs="Times New Roman"/>
                <w:szCs w:val="20"/>
                <w:lang w:val="en-GB"/>
              </w:rPr>
              <w:t xml:space="preserve">following options </w:t>
            </w:r>
            <w:r w:rsidRPr="00764F11">
              <w:rPr>
                <w:rFonts w:ascii="Times New Roman" w:eastAsia="DengXian" w:hAnsi="Times New Roman" w:cs="Times New Roman" w:hint="eastAsia"/>
                <w:szCs w:val="20"/>
                <w:lang w:val="en-GB"/>
              </w:rPr>
              <w:t xml:space="preserve">are studied </w:t>
            </w:r>
            <w:r w:rsidRPr="00764F11">
              <w:rPr>
                <w:rFonts w:ascii="Times New Roman" w:eastAsia="DengXian" w:hAnsi="Times New Roman" w:cs="Times New Roman"/>
                <w:szCs w:val="20"/>
                <w:lang w:val="en-GB"/>
              </w:rPr>
              <w:t>for SBFD-aware UEs:</w:t>
            </w:r>
          </w:p>
          <w:p w14:paraId="46B85309" w14:textId="77777777" w:rsidR="00293F22" w:rsidRPr="00764F11" w:rsidRDefault="00293F22" w:rsidP="00805786">
            <w:pPr>
              <w:spacing w:after="180" w:line="240" w:lineRule="auto"/>
              <w:ind w:left="568" w:hanging="284"/>
              <w:rPr>
                <w:rFonts w:ascii="Times New Roman" w:eastAsia="DengXian" w:hAnsi="Times New Roman" w:cs="Times New Roman"/>
                <w:szCs w:val="20"/>
                <w:lang w:val="en-GB"/>
              </w:rPr>
            </w:pPr>
            <w:r w:rsidRPr="00764F11">
              <w:rPr>
                <w:rFonts w:ascii="Times New Roman" w:eastAsia="DengXian" w:hAnsi="Times New Roman" w:cs="Times New Roman"/>
                <w:szCs w:val="20"/>
                <w:lang w:val="en-GB"/>
              </w:rPr>
              <w:t>-</w:t>
            </w:r>
            <w:r w:rsidRPr="00764F11">
              <w:rPr>
                <w:rFonts w:ascii="Times New Roman" w:eastAsia="DengXian" w:hAnsi="Times New Roman" w:cs="Times New Roman"/>
                <w:szCs w:val="20"/>
                <w:lang w:val="en-GB"/>
              </w:rPr>
              <w:tab/>
              <w:t>Option 1: The transmissions/receptions are restricted to SBFD symbols only or non-SBFD symbols only</w:t>
            </w:r>
          </w:p>
          <w:p w14:paraId="285665E0" w14:textId="77777777" w:rsidR="00293F22" w:rsidRPr="00281F30" w:rsidRDefault="00293F22" w:rsidP="00805786">
            <w:pPr>
              <w:spacing w:beforeLines="50" w:before="120" w:after="180" w:line="240" w:lineRule="auto"/>
              <w:ind w:left="568" w:hanging="284"/>
              <w:rPr>
                <w:lang w:val="en-GB"/>
              </w:rPr>
            </w:pPr>
            <w:r w:rsidRPr="00764F11">
              <w:rPr>
                <w:rFonts w:ascii="Times New Roman" w:eastAsia="DengXian" w:hAnsi="Times New Roman" w:cs="Times New Roman"/>
                <w:sz w:val="20"/>
                <w:szCs w:val="20"/>
                <w:lang w:val="en-GB"/>
              </w:rPr>
              <w:t>-</w:t>
            </w:r>
            <w:r w:rsidRPr="00764F11">
              <w:rPr>
                <w:rFonts w:ascii="Times New Roman" w:eastAsia="DengXian" w:hAnsi="Times New Roman" w:cs="Times New Roman"/>
                <w:sz w:val="20"/>
                <w:szCs w:val="20"/>
                <w:lang w:val="en-GB"/>
              </w:rPr>
              <w:tab/>
            </w:r>
            <w:r w:rsidRPr="00A97F8B">
              <w:rPr>
                <w:rFonts w:ascii="Times New Roman" w:eastAsia="DengXian" w:hAnsi="Times New Roman" w:cs="Times New Roman"/>
                <w:lang w:val="en-GB"/>
              </w:rPr>
              <w:t>Option 2: The transmissions/receptions can be in SBFD symbols and non-SBFD symbols</w:t>
            </w:r>
          </w:p>
        </w:tc>
      </w:tr>
      <w:bookmarkEnd w:id="109"/>
    </w:tbl>
    <w:p w14:paraId="2A3AE9B2" w14:textId="77777777" w:rsidR="00293F22" w:rsidRDefault="00293F22" w:rsidP="00C8671F">
      <w:pPr>
        <w:pStyle w:val="BodyText"/>
        <w:rPr>
          <w:lang w:val="en-GB" w:eastAsia="ja-JP"/>
        </w:rPr>
      </w:pPr>
    </w:p>
    <w:p w14:paraId="05309123" w14:textId="12B40F96" w:rsidR="007A2980" w:rsidRDefault="00293F22" w:rsidP="00C8671F">
      <w:pPr>
        <w:pStyle w:val="BodyText"/>
        <w:rPr>
          <w:lang w:eastAsia="ja-JP"/>
        </w:rPr>
      </w:pPr>
      <w:r>
        <w:rPr>
          <w:lang w:eastAsia="ja-JP"/>
        </w:rPr>
        <w:t xml:space="preserve">PUCCH </w:t>
      </w:r>
      <w:r w:rsidR="00002FBD">
        <w:rPr>
          <w:lang w:eastAsia="ja-JP"/>
        </w:rPr>
        <w:t>transmission</w:t>
      </w:r>
      <w:r w:rsidR="006C48D3">
        <w:rPr>
          <w:lang w:eastAsia="ja-JP"/>
        </w:rPr>
        <w:t>s</w:t>
      </w:r>
      <w:r w:rsidR="00AA32DC">
        <w:rPr>
          <w:lang w:eastAsia="ja-JP"/>
        </w:rPr>
        <w:t xml:space="preserve"> </w:t>
      </w:r>
      <w:r>
        <w:rPr>
          <w:lang w:eastAsia="ja-JP"/>
        </w:rPr>
        <w:t xml:space="preserve">are </w:t>
      </w:r>
      <w:r w:rsidR="00B57F50">
        <w:rPr>
          <w:lang w:eastAsia="ja-JP"/>
        </w:rPr>
        <w:t xml:space="preserve">scheduled </w:t>
      </w:r>
      <w:r>
        <w:rPr>
          <w:lang w:eastAsia="ja-JP"/>
        </w:rPr>
        <w:t xml:space="preserve">across multiple slots </w:t>
      </w:r>
      <w:r w:rsidR="007A2980">
        <w:rPr>
          <w:lang w:eastAsia="ja-JP"/>
        </w:rPr>
        <w:t xml:space="preserve">in two different situations, </w:t>
      </w:r>
      <w:r>
        <w:rPr>
          <w:lang w:eastAsia="ja-JP"/>
        </w:rPr>
        <w:t>PUCCH repetitions over multiple slots and periodic/semi-persistent PUCCH.</w:t>
      </w:r>
      <w:r w:rsidR="008B038A">
        <w:rPr>
          <w:lang w:eastAsia="ja-JP"/>
        </w:rPr>
        <w:t xml:space="preserve"> To </w:t>
      </w:r>
      <w:r w:rsidR="001C77F6">
        <w:rPr>
          <w:lang w:eastAsia="ja-JP"/>
        </w:rPr>
        <w:t>have the backward compatibility</w:t>
      </w:r>
      <w:r w:rsidR="002519BB">
        <w:rPr>
          <w:lang w:eastAsia="ja-JP"/>
        </w:rPr>
        <w:t>, it is straightforward t</w:t>
      </w:r>
      <w:r w:rsidR="007B0FA5">
        <w:rPr>
          <w:lang w:eastAsia="ja-JP"/>
        </w:rPr>
        <w:t xml:space="preserve">o let the </w:t>
      </w:r>
      <w:r w:rsidR="004E7C43">
        <w:rPr>
          <w:lang w:eastAsia="ja-JP"/>
        </w:rPr>
        <w:t>legacy UEs</w:t>
      </w:r>
      <w:r w:rsidR="00AC39AC">
        <w:rPr>
          <w:lang w:eastAsia="ja-JP"/>
        </w:rPr>
        <w:t xml:space="preserve"> transmit </w:t>
      </w:r>
      <w:r w:rsidR="007B0FA5">
        <w:rPr>
          <w:lang w:eastAsia="ja-JP"/>
        </w:rPr>
        <w:t xml:space="preserve">PUCCH only in non-SBFD slots, which </w:t>
      </w:r>
      <w:r w:rsidR="00C53C85">
        <w:rPr>
          <w:lang w:eastAsia="ja-JP"/>
        </w:rPr>
        <w:t>can be handled by gNB scheduling.</w:t>
      </w:r>
    </w:p>
    <w:p w14:paraId="37AA0038" w14:textId="3F6E2AB3" w:rsidR="00E113CB" w:rsidRDefault="005A47EF" w:rsidP="00C8671F">
      <w:pPr>
        <w:pStyle w:val="Proposal"/>
      </w:pPr>
      <w:r>
        <w:t xml:space="preserve"> </w:t>
      </w:r>
      <w:bookmarkStart w:id="110" w:name="_Toc159244027"/>
      <w:r w:rsidR="00E113CB">
        <w:t>Legacy UEs, non-supportive of SBFD, can only transmit PUCCH in non-SBFD slots.</w:t>
      </w:r>
      <w:bookmarkEnd w:id="110"/>
    </w:p>
    <w:p w14:paraId="20AAC0A5" w14:textId="15D818AC" w:rsidR="00D75554" w:rsidRDefault="00C970E4" w:rsidP="00C8671F">
      <w:pPr>
        <w:pStyle w:val="BodyText"/>
        <w:rPr>
          <w:lang w:eastAsia="ja-JP"/>
        </w:rPr>
      </w:pPr>
      <w:r>
        <w:rPr>
          <w:lang w:eastAsia="ja-JP"/>
        </w:rPr>
        <w:t>E</w:t>
      </w:r>
      <w:r w:rsidR="0053784F">
        <w:rPr>
          <w:lang w:eastAsia="ja-JP"/>
        </w:rPr>
        <w:t xml:space="preserve">ach of </w:t>
      </w:r>
      <w:r w:rsidR="0036766B">
        <w:rPr>
          <w:lang w:eastAsia="ja-JP"/>
        </w:rPr>
        <w:t xml:space="preserve">the </w:t>
      </w:r>
      <w:r w:rsidR="0053784F">
        <w:rPr>
          <w:lang w:eastAsia="ja-JP"/>
        </w:rPr>
        <w:t xml:space="preserve">PUCCH </w:t>
      </w:r>
      <w:r w:rsidR="00FC5440">
        <w:rPr>
          <w:lang w:eastAsia="ja-JP"/>
        </w:rPr>
        <w:t>resource</w:t>
      </w:r>
      <w:r w:rsidR="003554AB">
        <w:rPr>
          <w:lang w:eastAsia="ja-JP"/>
        </w:rPr>
        <w:t>s</w:t>
      </w:r>
      <w:r w:rsidR="002F5400">
        <w:rPr>
          <w:lang w:eastAsia="ja-JP"/>
        </w:rPr>
        <w:t xml:space="preserve"> </w:t>
      </w:r>
      <w:r w:rsidR="0053784F">
        <w:rPr>
          <w:lang w:eastAsia="ja-JP"/>
        </w:rPr>
        <w:t xml:space="preserve">can be </w:t>
      </w:r>
      <w:r w:rsidR="0021722E">
        <w:rPr>
          <w:lang w:eastAsia="ja-JP"/>
        </w:rPr>
        <w:t>associated with e</w:t>
      </w:r>
      <w:r w:rsidR="0067515F">
        <w:rPr>
          <w:lang w:eastAsia="ja-JP"/>
        </w:rPr>
        <w:t>i</w:t>
      </w:r>
      <w:r w:rsidR="0021722E">
        <w:rPr>
          <w:lang w:eastAsia="ja-JP"/>
        </w:rPr>
        <w:t xml:space="preserve">ther </w:t>
      </w:r>
      <w:r w:rsidR="00293F22">
        <w:rPr>
          <w:lang w:eastAsia="ja-JP"/>
        </w:rPr>
        <w:t xml:space="preserve">SBFD </w:t>
      </w:r>
      <w:r w:rsidR="0021722E">
        <w:rPr>
          <w:lang w:eastAsia="ja-JP"/>
        </w:rPr>
        <w:t>slot</w:t>
      </w:r>
      <w:r w:rsidR="0067515F">
        <w:rPr>
          <w:lang w:eastAsia="ja-JP"/>
        </w:rPr>
        <w:t xml:space="preserve">s </w:t>
      </w:r>
      <w:r w:rsidR="0021722E">
        <w:rPr>
          <w:lang w:eastAsia="ja-JP"/>
        </w:rPr>
        <w:t>or</w:t>
      </w:r>
      <w:r w:rsidR="00293F22">
        <w:rPr>
          <w:lang w:eastAsia="ja-JP"/>
        </w:rPr>
        <w:t xml:space="preserve"> non-SBFD slots</w:t>
      </w:r>
      <w:r w:rsidR="00556CE2">
        <w:rPr>
          <w:lang w:eastAsia="ja-JP"/>
        </w:rPr>
        <w:t>, but not both</w:t>
      </w:r>
      <w:r>
        <w:rPr>
          <w:lang w:eastAsia="ja-JP"/>
        </w:rPr>
        <w:t>. With Option 1,</w:t>
      </w:r>
      <w:r w:rsidR="002047BC" w:rsidDel="00C970E4">
        <w:rPr>
          <w:lang w:eastAsia="ja-JP"/>
        </w:rPr>
        <w:t xml:space="preserve"> </w:t>
      </w:r>
      <w:r w:rsidR="002047BC">
        <w:rPr>
          <w:lang w:eastAsia="ja-JP"/>
        </w:rPr>
        <w:t xml:space="preserve">only one </w:t>
      </w:r>
      <w:r w:rsidR="002414D7">
        <w:rPr>
          <w:lang w:eastAsia="ja-JP"/>
        </w:rPr>
        <w:t xml:space="preserve">slot </w:t>
      </w:r>
      <w:r w:rsidR="002047BC">
        <w:rPr>
          <w:lang w:eastAsia="ja-JP"/>
        </w:rPr>
        <w:t>type can be scheduled at a given time</w:t>
      </w:r>
      <w:r w:rsidR="00FC5440">
        <w:rPr>
          <w:lang w:eastAsia="ja-JP"/>
        </w:rPr>
        <w:t xml:space="preserve">. Possible impacts of </w:t>
      </w:r>
      <w:r w:rsidR="00D757FC">
        <w:rPr>
          <w:lang w:eastAsia="ja-JP"/>
        </w:rPr>
        <w:t>such</w:t>
      </w:r>
      <w:r w:rsidR="00FC5440">
        <w:rPr>
          <w:lang w:eastAsia="ja-JP"/>
        </w:rPr>
        <w:t xml:space="preserve"> splitting</w:t>
      </w:r>
      <w:r w:rsidR="00B8755D">
        <w:rPr>
          <w:lang w:eastAsia="ja-JP"/>
        </w:rPr>
        <w:t xml:space="preserve"> of PUCCH resource</w:t>
      </w:r>
      <w:r w:rsidR="001224FF">
        <w:rPr>
          <w:lang w:eastAsia="ja-JP"/>
        </w:rPr>
        <w:t>s</w:t>
      </w:r>
      <w:r w:rsidR="00D757FC">
        <w:rPr>
          <w:lang w:eastAsia="ja-JP"/>
        </w:rPr>
        <w:t xml:space="preserve"> across both slot types</w:t>
      </w:r>
      <w:r w:rsidR="00FC5440">
        <w:rPr>
          <w:lang w:eastAsia="ja-JP"/>
        </w:rPr>
        <w:t xml:space="preserve"> are that it may take longer to convey </w:t>
      </w:r>
      <w:r w:rsidR="004A304D">
        <w:rPr>
          <w:lang w:eastAsia="ja-JP"/>
        </w:rPr>
        <w:t>all the repetitions of</w:t>
      </w:r>
      <w:r w:rsidR="00FC5440">
        <w:rPr>
          <w:lang w:eastAsia="ja-JP"/>
        </w:rPr>
        <w:t xml:space="preserve"> PUCCH and that </w:t>
      </w:r>
      <w:r w:rsidR="00DA697E">
        <w:rPr>
          <w:lang w:eastAsia="ja-JP"/>
        </w:rPr>
        <w:t xml:space="preserve">time domain </w:t>
      </w:r>
      <w:r w:rsidR="00FC5440">
        <w:rPr>
          <w:lang w:eastAsia="ja-JP"/>
        </w:rPr>
        <w:t>scheduling for periodic/semi-persistent PUCCH may become more complicated and spread out in time.</w:t>
      </w:r>
      <w:r w:rsidR="007B0F5E">
        <w:rPr>
          <w:lang w:eastAsia="ja-JP"/>
        </w:rPr>
        <w:t xml:space="preserve"> </w:t>
      </w:r>
      <w:r w:rsidR="00D75554">
        <w:rPr>
          <w:lang w:eastAsia="ja-JP"/>
        </w:rPr>
        <w:t xml:space="preserve">The main advantage of supporting Option 1 is that it minimizes specification impact. By restricting multi-slot PUCCH transmissions to either SBFD or non-SBFD slots the current FDRA can be </w:t>
      </w:r>
      <w:proofErr w:type="gramStart"/>
      <w:r w:rsidR="00D75554">
        <w:rPr>
          <w:lang w:eastAsia="ja-JP"/>
        </w:rPr>
        <w:t>reused</w:t>
      </w:r>
      <w:proofErr w:type="gramEnd"/>
      <w:r w:rsidR="00D75554">
        <w:rPr>
          <w:lang w:eastAsia="ja-JP"/>
        </w:rPr>
        <w:t xml:space="preserve"> and no specification changes are needed for PUCCH inter-slot frequency hopping. </w:t>
      </w:r>
    </w:p>
    <w:p w14:paraId="1BAC715B" w14:textId="6D2D21F0" w:rsidR="0018206C" w:rsidRDefault="00214D5E" w:rsidP="00C8671F">
      <w:pPr>
        <w:pStyle w:val="BodyText"/>
        <w:rPr>
          <w:lang w:eastAsia="ja-JP"/>
        </w:rPr>
      </w:pPr>
      <w:r>
        <w:rPr>
          <w:lang w:eastAsia="ja-JP"/>
        </w:rPr>
        <w:t xml:space="preserve">The </w:t>
      </w:r>
      <w:r w:rsidR="00674EDA">
        <w:rPr>
          <w:lang w:eastAsia="ja-JP"/>
        </w:rPr>
        <w:t xml:space="preserve">limited </w:t>
      </w:r>
      <w:r>
        <w:rPr>
          <w:lang w:eastAsia="ja-JP"/>
        </w:rPr>
        <w:t xml:space="preserve">availability of </w:t>
      </w:r>
      <w:r w:rsidR="00674EDA">
        <w:rPr>
          <w:lang w:eastAsia="ja-JP"/>
        </w:rPr>
        <w:t xml:space="preserve">resource </w:t>
      </w:r>
      <w:r w:rsidR="00D75554">
        <w:rPr>
          <w:lang w:eastAsia="ja-JP"/>
        </w:rPr>
        <w:t xml:space="preserve">for PUCCH </w:t>
      </w:r>
      <w:r w:rsidR="001047A2">
        <w:rPr>
          <w:lang w:eastAsia="ja-JP"/>
        </w:rPr>
        <w:t>under Option 1</w:t>
      </w:r>
      <w:r w:rsidR="00D75554">
        <w:rPr>
          <w:lang w:eastAsia="ja-JP"/>
        </w:rPr>
        <w:t xml:space="preserve"> </w:t>
      </w:r>
      <w:r w:rsidR="005F4AF6">
        <w:rPr>
          <w:lang w:eastAsia="ja-JP"/>
        </w:rPr>
        <w:t xml:space="preserve">can be addressed </w:t>
      </w:r>
      <w:r w:rsidR="00481FC8">
        <w:rPr>
          <w:lang w:eastAsia="ja-JP"/>
        </w:rPr>
        <w:t xml:space="preserve">by means of </w:t>
      </w:r>
      <w:r w:rsidR="007B0F5E">
        <w:rPr>
          <w:lang w:eastAsia="ja-JP"/>
        </w:rPr>
        <w:t>Option 2</w:t>
      </w:r>
      <w:r w:rsidR="00F37E66">
        <w:rPr>
          <w:lang w:eastAsia="ja-JP"/>
        </w:rPr>
        <w:t>, whereby</w:t>
      </w:r>
      <w:r w:rsidR="007B0F5E">
        <w:rPr>
          <w:lang w:eastAsia="ja-JP"/>
        </w:rPr>
        <w:t xml:space="preserve"> more slots become available for PUCCH transmissions compared to Option 1.</w:t>
      </w:r>
      <w:r w:rsidR="00CE15F3">
        <w:rPr>
          <w:lang w:eastAsia="ja-JP"/>
        </w:rPr>
        <w:t xml:space="preserve"> </w:t>
      </w:r>
      <w:r w:rsidR="003A0C41">
        <w:rPr>
          <w:lang w:eastAsia="ja-JP"/>
        </w:rPr>
        <w:t xml:space="preserve">However, one </w:t>
      </w:r>
      <w:r w:rsidR="002204F4">
        <w:rPr>
          <w:lang w:eastAsia="ja-JP"/>
        </w:rPr>
        <w:t>issue to be resolved for Option 2</w:t>
      </w:r>
      <w:r w:rsidR="00A73A54">
        <w:rPr>
          <w:lang w:eastAsia="ja-JP"/>
        </w:rPr>
        <w:t>, if supported, is</w:t>
      </w:r>
      <w:r w:rsidR="002204F4">
        <w:rPr>
          <w:lang w:eastAsia="ja-JP"/>
        </w:rPr>
        <w:t xml:space="preserve"> </w:t>
      </w:r>
      <w:r w:rsidR="00DA697E">
        <w:rPr>
          <w:lang w:eastAsia="ja-JP"/>
        </w:rPr>
        <w:t>frequency domain scheduling</w:t>
      </w:r>
      <w:r w:rsidR="0014352E">
        <w:rPr>
          <w:lang w:eastAsia="ja-JP"/>
        </w:rPr>
        <w:t xml:space="preserve">, which currently only </w:t>
      </w:r>
      <w:r w:rsidR="00DA697E">
        <w:rPr>
          <w:lang w:eastAsia="ja-JP"/>
        </w:rPr>
        <w:t>support</w:t>
      </w:r>
      <w:r w:rsidR="000D7309">
        <w:rPr>
          <w:lang w:eastAsia="ja-JP"/>
        </w:rPr>
        <w:t>s</w:t>
      </w:r>
      <w:r w:rsidR="00DA697E">
        <w:rPr>
          <w:lang w:eastAsia="ja-JP"/>
        </w:rPr>
        <w:t xml:space="preserve"> one set of</w:t>
      </w:r>
      <w:r w:rsidR="0014352E">
        <w:rPr>
          <w:lang w:eastAsia="ja-JP"/>
        </w:rPr>
        <w:t xml:space="preserve"> parameters meaning that only the same frequency resources can be used in a multi-slot configuration</w:t>
      </w:r>
      <w:r w:rsidR="008A336A">
        <w:rPr>
          <w:lang w:eastAsia="ja-JP"/>
        </w:rPr>
        <w:t xml:space="preserve"> </w:t>
      </w:r>
      <w:r w:rsidR="00475F1D">
        <w:rPr>
          <w:lang w:eastAsia="ja-JP"/>
        </w:rPr>
        <w:t xml:space="preserve">across SBFB or non-SBFD slots, </w:t>
      </w:r>
      <w:r w:rsidR="008A336A">
        <w:rPr>
          <w:lang w:eastAsia="ja-JP"/>
        </w:rPr>
        <w:t>without discriminating the slot type</w:t>
      </w:r>
      <w:r w:rsidR="0014352E">
        <w:rPr>
          <w:lang w:eastAsia="ja-JP"/>
        </w:rPr>
        <w:t>. This can be solved by introducing a second set of scheduling parameters and associated scheduling rules. These associated scheduling rules also need to handle the</w:t>
      </w:r>
      <w:r w:rsidR="00730326">
        <w:rPr>
          <w:lang w:eastAsia="ja-JP"/>
        </w:rPr>
        <w:t xml:space="preserve"> special</w:t>
      </w:r>
      <w:r w:rsidR="0014352E">
        <w:rPr>
          <w:lang w:eastAsia="ja-JP"/>
        </w:rPr>
        <w:t xml:space="preserve"> case of PUCCH inter-slot frequency hopping</w:t>
      </w:r>
      <w:r w:rsidR="00730326">
        <w:rPr>
          <w:lang w:eastAsia="ja-JP"/>
        </w:rPr>
        <w:t>.</w:t>
      </w:r>
    </w:p>
    <w:p w14:paraId="61BE6D3A" w14:textId="60C7D462" w:rsidR="00293F22" w:rsidRDefault="00C17E6D" w:rsidP="00293F22">
      <w:pPr>
        <w:pStyle w:val="Proposal"/>
      </w:pPr>
      <w:r>
        <w:t xml:space="preserve"> </w:t>
      </w:r>
      <w:bookmarkStart w:id="111" w:name="_Toc159244028"/>
      <w:r w:rsidR="00293F22">
        <w:t xml:space="preserve">Multi-slot PUCCH </w:t>
      </w:r>
      <w:r w:rsidR="00B8159A">
        <w:t>scheduling across SBFD and non-SBFD slots should be studied further.</w:t>
      </w:r>
      <w:bookmarkEnd w:id="111"/>
    </w:p>
    <w:p w14:paraId="4C274177" w14:textId="25DF431D" w:rsidR="005670D6" w:rsidRPr="000029CC" w:rsidRDefault="005670D6" w:rsidP="0040453D">
      <w:pPr>
        <w:pStyle w:val="BodyText"/>
      </w:pPr>
    </w:p>
    <w:p w14:paraId="4DA4F484" w14:textId="7C2CD357" w:rsidR="00DC4FC0" w:rsidRDefault="00A07938" w:rsidP="00833469">
      <w:pPr>
        <w:pStyle w:val="Heading2"/>
      </w:pPr>
      <w:r>
        <w:t>3.5</w:t>
      </w:r>
      <w:r w:rsidR="00DC4FC0">
        <w:tab/>
        <w:t>PUSCH</w:t>
      </w:r>
    </w:p>
    <w:p w14:paraId="5F22EB80" w14:textId="77777777" w:rsidR="00BB664E" w:rsidRDefault="00BB664E" w:rsidP="00BB664E">
      <w:pPr>
        <w:pStyle w:val="BodyText"/>
      </w:pPr>
      <w:r>
        <w:t xml:space="preserve">In TR 38.858 the following paragraph states that the following two options are considered for UL transmissions </w:t>
      </w:r>
      <w:r w:rsidRPr="001A21A0">
        <w:t xml:space="preserve">and DL receptions </w:t>
      </w:r>
      <w:r w:rsidRPr="00764F11">
        <w:t>across SBFD symbols and non-SBFD symbols in different slots</w:t>
      </w:r>
      <w:r>
        <w:t>.</w:t>
      </w:r>
    </w:p>
    <w:tbl>
      <w:tblPr>
        <w:tblStyle w:val="TableGrid"/>
        <w:tblW w:w="0" w:type="auto"/>
        <w:tblLook w:val="04A0" w:firstRow="1" w:lastRow="0" w:firstColumn="1" w:lastColumn="0" w:noHBand="0" w:noVBand="1"/>
      </w:tblPr>
      <w:tblGrid>
        <w:gridCol w:w="9629"/>
      </w:tblGrid>
      <w:tr w:rsidR="00BB664E" w14:paraId="00820BAB" w14:textId="77777777" w:rsidTr="008033D4">
        <w:tc>
          <w:tcPr>
            <w:tcW w:w="0" w:type="auto"/>
          </w:tcPr>
          <w:p w14:paraId="59B17B92" w14:textId="77777777" w:rsidR="00BB664E" w:rsidRDefault="00BB664E" w:rsidP="008033D4">
            <w:pPr>
              <w:spacing w:beforeLines="50" w:before="120" w:after="180" w:line="240" w:lineRule="auto"/>
              <w:rPr>
                <w:rFonts w:ascii="Times New Roman" w:eastAsia="DengXian" w:hAnsi="Times New Roman" w:cs="Times New Roman"/>
                <w:szCs w:val="20"/>
                <w:lang w:val="en-GB"/>
              </w:rPr>
            </w:pPr>
            <w:r>
              <w:rPr>
                <w:rFonts w:ascii="Times New Roman" w:eastAsia="DengXian" w:hAnsi="Times New Roman" w:cs="Times New Roman"/>
                <w:szCs w:val="20"/>
                <w:lang w:val="en-GB"/>
              </w:rPr>
              <w:t>TR 38.858:</w:t>
            </w:r>
          </w:p>
          <w:p w14:paraId="08DE635D" w14:textId="77777777" w:rsidR="00BB664E" w:rsidRPr="000A1FA7" w:rsidRDefault="00BB664E" w:rsidP="008033D4">
            <w:pPr>
              <w:spacing w:after="180" w:line="240" w:lineRule="auto"/>
              <w:rPr>
                <w:rFonts w:ascii="Times New Roman" w:eastAsia="DengXian" w:hAnsi="Times New Roman" w:cs="Times New Roman"/>
                <w:lang w:val="en-GB"/>
              </w:rPr>
            </w:pPr>
            <w:r w:rsidRPr="000A1FA7">
              <w:rPr>
                <w:rFonts w:ascii="Times New Roman" w:eastAsia="DengXian" w:hAnsi="Times New Roman" w:cs="Times New Roman"/>
                <w:lang w:val="en-GB"/>
              </w:rPr>
              <w:t>For UL transmissions and DL receptions across SBFD symbols and non-SBFD symbols in different slots (each transmission/reception within a slot has either all SBFD or all non-SBFD symbols)</w:t>
            </w:r>
            <w:r w:rsidRPr="00AB3F6E">
              <w:rPr>
                <w:rFonts w:ascii="Times New Roman" w:eastAsia="DengXian" w:hAnsi="Times New Roman" w:cs="Times New Roman" w:hint="eastAsia"/>
                <w:lang w:val="en-GB"/>
              </w:rPr>
              <w:t xml:space="preserve">, the </w:t>
            </w:r>
            <w:r w:rsidRPr="000A1FA7">
              <w:rPr>
                <w:rFonts w:ascii="Times New Roman" w:eastAsia="DengXian" w:hAnsi="Times New Roman" w:cs="Times New Roman"/>
                <w:lang w:val="en-GB"/>
              </w:rPr>
              <w:t xml:space="preserve">following options </w:t>
            </w:r>
            <w:r w:rsidRPr="00AB3F6E">
              <w:rPr>
                <w:rFonts w:ascii="Times New Roman" w:eastAsia="DengXian" w:hAnsi="Times New Roman" w:cs="Times New Roman" w:hint="eastAsia"/>
                <w:lang w:val="en-GB"/>
              </w:rPr>
              <w:t xml:space="preserve">are studied </w:t>
            </w:r>
            <w:r w:rsidRPr="000A1FA7">
              <w:rPr>
                <w:rFonts w:ascii="Times New Roman" w:eastAsia="DengXian" w:hAnsi="Times New Roman" w:cs="Times New Roman"/>
                <w:lang w:val="en-GB"/>
              </w:rPr>
              <w:t>for SBFD-aware UEs:</w:t>
            </w:r>
          </w:p>
          <w:p w14:paraId="569699A9" w14:textId="77777777" w:rsidR="00BB664E" w:rsidRPr="000A1FA7" w:rsidRDefault="00BB664E" w:rsidP="008033D4">
            <w:pPr>
              <w:spacing w:after="180" w:line="240" w:lineRule="auto"/>
              <w:ind w:left="568" w:hanging="284"/>
              <w:rPr>
                <w:rFonts w:ascii="Times New Roman" w:eastAsia="DengXian" w:hAnsi="Times New Roman" w:cs="Times New Roman"/>
                <w:lang w:val="en-GB"/>
              </w:rPr>
            </w:pPr>
            <w:r w:rsidRPr="000A1FA7">
              <w:rPr>
                <w:rFonts w:ascii="Times New Roman" w:eastAsia="DengXian" w:hAnsi="Times New Roman" w:cs="Times New Roman"/>
                <w:lang w:val="en-GB"/>
              </w:rPr>
              <w:t>-</w:t>
            </w:r>
            <w:r>
              <w:tab/>
            </w:r>
            <w:r w:rsidRPr="000A1FA7">
              <w:rPr>
                <w:rFonts w:ascii="Times New Roman" w:eastAsia="DengXian" w:hAnsi="Times New Roman" w:cs="Times New Roman"/>
                <w:lang w:val="en-GB"/>
              </w:rPr>
              <w:t>Option 1: The transmissions/receptions are restricted to SBFD symbols only or non-SBFD symbols only</w:t>
            </w:r>
          </w:p>
          <w:p w14:paraId="6A91CF0B" w14:textId="77777777" w:rsidR="00BB664E" w:rsidRPr="000A1FA7" w:rsidRDefault="00BB664E" w:rsidP="008033D4">
            <w:pPr>
              <w:spacing w:beforeLines="50" w:before="120" w:after="180" w:line="240" w:lineRule="auto"/>
              <w:ind w:left="568" w:hanging="284"/>
              <w:rPr>
                <w:rFonts w:ascii="Times New Roman" w:eastAsia="DengXian" w:hAnsi="Times New Roman" w:cs="Times New Roman"/>
                <w:lang w:val="en-GB"/>
              </w:rPr>
            </w:pPr>
            <w:r w:rsidRPr="17AAA309">
              <w:rPr>
                <w:rFonts w:ascii="Times New Roman" w:eastAsia="DengXian" w:hAnsi="Times New Roman" w:cs="Times New Roman"/>
                <w:lang w:val="en-GB"/>
              </w:rPr>
              <w:t>-</w:t>
            </w:r>
            <w:r>
              <w:tab/>
            </w:r>
            <w:r w:rsidRPr="00F26C43">
              <w:rPr>
                <w:rFonts w:ascii="Times New Roman" w:eastAsia="DengXian" w:hAnsi="Times New Roman" w:cs="Times New Roman"/>
                <w:lang w:val="en-GB"/>
              </w:rPr>
              <w:t>Option 2: The transmissions/receptions can be in SBFD symbols and non-SBFD symbols</w:t>
            </w:r>
          </w:p>
          <w:p w14:paraId="76C0D35A" w14:textId="77777777" w:rsidR="00BB664E" w:rsidRPr="00A95B94" w:rsidRDefault="00BB664E" w:rsidP="008033D4">
            <w:pPr>
              <w:rPr>
                <w:rFonts w:ascii="Times New Roman" w:hAnsi="Times New Roman" w:cs="Times New Roman"/>
              </w:rPr>
            </w:pPr>
            <w:r w:rsidRPr="00A95B94">
              <w:rPr>
                <w:rFonts w:ascii="Times New Roman" w:hAnsi="Times New Roman" w:cs="Times New Roman"/>
              </w:rPr>
              <w:t>UL transmissions and DL receptions across SBFD symbols and non-SBFD symbols include the following:</w:t>
            </w:r>
          </w:p>
          <w:p w14:paraId="5E791549" w14:textId="77777777" w:rsidR="00BB664E" w:rsidRPr="00E43DF1" w:rsidRDefault="00BB664E" w:rsidP="008033D4">
            <w:pPr>
              <w:pStyle w:val="B1"/>
              <w:rPr>
                <w:rFonts w:cs="Times New Roman"/>
                <w:lang w:val="sv-SE"/>
              </w:rPr>
            </w:pPr>
            <w:r w:rsidRPr="00E43DF1">
              <w:rPr>
                <w:rFonts w:cs="Times New Roman"/>
                <w:lang w:val="sv-SE"/>
              </w:rPr>
              <w:t>-</w:t>
            </w:r>
            <w:r w:rsidRPr="00E43DF1">
              <w:rPr>
                <w:rFonts w:cs="Times New Roman"/>
                <w:lang w:val="sv-SE"/>
              </w:rPr>
              <w:tab/>
              <w:t>PDSCH/PUSCH/PUCCH repetitions</w:t>
            </w:r>
          </w:p>
          <w:p w14:paraId="66327971" w14:textId="77777777" w:rsidR="00BB664E" w:rsidRPr="00E43DF1" w:rsidRDefault="00BB664E" w:rsidP="008033D4">
            <w:pPr>
              <w:pStyle w:val="B1"/>
              <w:rPr>
                <w:rFonts w:cs="Times New Roman"/>
                <w:lang w:val="sv-SE"/>
              </w:rPr>
            </w:pPr>
            <w:r w:rsidRPr="00E43DF1">
              <w:rPr>
                <w:rFonts w:cs="Times New Roman"/>
                <w:lang w:val="sv-SE"/>
              </w:rPr>
              <w:t>-</w:t>
            </w:r>
            <w:r w:rsidRPr="00E43DF1">
              <w:rPr>
                <w:rFonts w:cs="Times New Roman"/>
                <w:lang w:val="sv-SE"/>
              </w:rPr>
              <w:tab/>
              <w:t>SPS PDSCH/CG PUSCH</w:t>
            </w:r>
          </w:p>
          <w:p w14:paraId="3969E1C8" w14:textId="77777777" w:rsidR="00BB664E" w:rsidRPr="000A1FA7" w:rsidRDefault="00BB664E" w:rsidP="008033D4">
            <w:pPr>
              <w:pStyle w:val="B1"/>
              <w:rPr>
                <w:rFonts w:cs="Times New Roman"/>
              </w:rPr>
            </w:pPr>
            <w:r w:rsidRPr="00AB3F6E">
              <w:rPr>
                <w:rFonts w:cs="Times New Roman"/>
              </w:rPr>
              <w:t>-</w:t>
            </w:r>
            <w:r w:rsidRPr="00AB3F6E">
              <w:rPr>
                <w:rFonts w:cs="Times New Roman"/>
              </w:rPr>
              <w:tab/>
            </w:r>
            <w:proofErr w:type="spellStart"/>
            <w:r w:rsidRPr="00AB3F6E">
              <w:rPr>
                <w:rFonts w:cs="Times New Roman"/>
              </w:rPr>
              <w:t>TBoMS</w:t>
            </w:r>
            <w:proofErr w:type="spellEnd"/>
          </w:p>
          <w:p w14:paraId="2E07878E" w14:textId="77777777" w:rsidR="00BB664E" w:rsidRPr="000A1FA7" w:rsidRDefault="00BB664E" w:rsidP="008033D4">
            <w:pPr>
              <w:pStyle w:val="B1"/>
              <w:rPr>
                <w:rFonts w:cs="Times New Roman"/>
              </w:rPr>
            </w:pPr>
            <w:r w:rsidRPr="00AB3F6E">
              <w:rPr>
                <w:rFonts w:cs="Times New Roman"/>
              </w:rPr>
              <w:lastRenderedPageBreak/>
              <w:t>-</w:t>
            </w:r>
            <w:r w:rsidRPr="00AB3F6E">
              <w:rPr>
                <w:rFonts w:cs="Times New Roman"/>
              </w:rPr>
              <w:tab/>
              <w:t>Multi-PUSCH/PDSCH scheduled by a single DCI</w:t>
            </w:r>
          </w:p>
          <w:p w14:paraId="71E81A84" w14:textId="77777777" w:rsidR="00BB664E" w:rsidRPr="000A1FA7" w:rsidRDefault="00BB664E" w:rsidP="008033D4">
            <w:pPr>
              <w:pStyle w:val="B1"/>
              <w:rPr>
                <w:rFonts w:cs="Times New Roman"/>
              </w:rPr>
            </w:pPr>
            <w:r w:rsidRPr="00AB3F6E">
              <w:rPr>
                <w:rFonts w:cs="Times New Roman"/>
              </w:rPr>
              <w:t>-</w:t>
            </w:r>
            <w:r w:rsidRPr="00AB3F6E">
              <w:rPr>
                <w:rFonts w:cs="Times New Roman"/>
              </w:rPr>
              <w:tab/>
              <w:t>Periodic/semi-persistent SRS/CSI-RS/PUCCH</w:t>
            </w:r>
          </w:p>
          <w:p w14:paraId="704E222D" w14:textId="77777777" w:rsidR="00BB664E" w:rsidRPr="00281F30" w:rsidRDefault="00BB664E" w:rsidP="008033D4">
            <w:pPr>
              <w:pStyle w:val="B1"/>
              <w:rPr>
                <w:lang w:val="en-GB"/>
              </w:rPr>
            </w:pPr>
            <w:r w:rsidRPr="00AB3F6E">
              <w:rPr>
                <w:rFonts w:cs="Times New Roman"/>
              </w:rPr>
              <w:t>-</w:t>
            </w:r>
            <w:r w:rsidRPr="00AB3F6E">
              <w:rPr>
                <w:rFonts w:cs="Times New Roman"/>
              </w:rPr>
              <w:tab/>
              <w:t>PDCCH</w:t>
            </w:r>
          </w:p>
        </w:tc>
      </w:tr>
    </w:tbl>
    <w:p w14:paraId="0DE0DD9B" w14:textId="77777777" w:rsidR="00BB664E" w:rsidRPr="00281F30" w:rsidRDefault="00BB664E" w:rsidP="00281F30">
      <w:pPr>
        <w:rPr>
          <w:color w:val="FF0000"/>
        </w:rPr>
      </w:pPr>
    </w:p>
    <w:p w14:paraId="0A2FACDE" w14:textId="02E3C719" w:rsidR="00187D93" w:rsidRDefault="002C7526" w:rsidP="00187D93">
      <w:pPr>
        <w:pStyle w:val="Heading3"/>
      </w:pPr>
      <w:r>
        <w:t>3.5</w:t>
      </w:r>
      <w:r w:rsidR="00187D93">
        <w:t>.1</w:t>
      </w:r>
      <w:r w:rsidR="00187D93">
        <w:tab/>
      </w:r>
      <w:r w:rsidR="00187D93" w:rsidRPr="00187D93">
        <w:t>PUSCH transmissions across SBFD symbols and non-SBFD symbols in different slots</w:t>
      </w:r>
    </w:p>
    <w:p w14:paraId="06D9841D" w14:textId="4D616E41" w:rsidR="00764F11" w:rsidRDefault="00764F11" w:rsidP="003F15BE">
      <w:pPr>
        <w:rPr>
          <w:lang w:val="en-GB" w:eastAsia="ja-JP"/>
        </w:rPr>
      </w:pPr>
    </w:p>
    <w:p w14:paraId="0AF27BCB" w14:textId="5775EC9D" w:rsidR="002429EC" w:rsidRDefault="002429EC" w:rsidP="001A21A0">
      <w:pPr>
        <w:pStyle w:val="BodyText"/>
        <w:rPr>
          <w:lang w:val="en-GB"/>
        </w:rPr>
      </w:pPr>
      <w:r>
        <w:rPr>
          <w:lang w:val="en-GB"/>
        </w:rPr>
        <w:t xml:space="preserve">In the following, we discuss </w:t>
      </w:r>
      <w:r w:rsidR="00A80B66">
        <w:rPr>
          <w:lang w:val="en-GB"/>
        </w:rPr>
        <w:t>the</w:t>
      </w:r>
      <w:r>
        <w:rPr>
          <w:lang w:val="en-GB"/>
        </w:rPr>
        <w:t xml:space="preserve"> two</w:t>
      </w:r>
      <w:r w:rsidR="00F540DD">
        <w:rPr>
          <w:lang w:val="en-GB"/>
        </w:rPr>
        <w:t xml:space="preserve"> </w:t>
      </w:r>
      <w:r>
        <w:rPr>
          <w:lang w:val="en-GB"/>
        </w:rPr>
        <w:t>options</w:t>
      </w:r>
      <w:r w:rsidR="00A80B66">
        <w:rPr>
          <w:lang w:val="en-GB"/>
        </w:rPr>
        <w:t xml:space="preserve"> </w:t>
      </w:r>
      <w:r w:rsidR="005F262F">
        <w:rPr>
          <w:lang w:val="en-GB"/>
        </w:rPr>
        <w:t>mentioned</w:t>
      </w:r>
      <w:r w:rsidR="00F540DD">
        <w:rPr>
          <w:lang w:val="en-GB"/>
        </w:rPr>
        <w:t xml:space="preserve"> </w:t>
      </w:r>
      <w:r w:rsidR="00BD387E">
        <w:rPr>
          <w:lang w:val="en-GB"/>
        </w:rPr>
        <w:t>above</w:t>
      </w:r>
      <w:r>
        <w:rPr>
          <w:lang w:val="en-GB"/>
        </w:rPr>
        <w:t>.</w:t>
      </w:r>
    </w:p>
    <w:p w14:paraId="0407BC4D" w14:textId="6B1EB996" w:rsidR="002429EC" w:rsidRPr="00A95B94" w:rsidRDefault="002429EC" w:rsidP="001A21A0">
      <w:pPr>
        <w:pStyle w:val="BodyText"/>
        <w:rPr>
          <w:b/>
          <w:lang w:val="en-GB"/>
        </w:rPr>
      </w:pPr>
      <w:r w:rsidRPr="00A95B94">
        <w:rPr>
          <w:b/>
          <w:lang w:val="en-GB"/>
        </w:rPr>
        <w:t>Option 1</w:t>
      </w:r>
    </w:p>
    <w:p w14:paraId="00D9FC4A" w14:textId="62033380" w:rsidR="000A1FA7" w:rsidRDefault="000A1FA7" w:rsidP="001A21A0">
      <w:pPr>
        <w:pStyle w:val="BodyText"/>
        <w:rPr>
          <w:lang w:val="en-GB"/>
        </w:rPr>
      </w:pPr>
      <w:r>
        <w:rPr>
          <w:lang w:val="en-GB"/>
        </w:rPr>
        <w:t xml:space="preserve">There is concern that latency and coverage performances could be affected by Option 1 if UL transmissions in </w:t>
      </w:r>
      <w:r w:rsidRPr="00764F11">
        <w:rPr>
          <w:lang w:val="en-GB"/>
        </w:rPr>
        <w:t>other symbol type is postponed</w:t>
      </w:r>
      <w:r>
        <w:rPr>
          <w:lang w:val="en-GB"/>
        </w:rPr>
        <w:t xml:space="preserve"> or dropped. </w:t>
      </w:r>
      <w:r w:rsidR="00764F11">
        <w:rPr>
          <w:lang w:val="en-GB"/>
        </w:rPr>
        <w:t xml:space="preserve">In our view, Option 1 is restricted </w:t>
      </w:r>
      <w:r w:rsidR="00725B67">
        <w:rPr>
          <w:lang w:val="en-GB"/>
        </w:rPr>
        <w:t>to</w:t>
      </w:r>
      <w:r w:rsidR="0065662D">
        <w:rPr>
          <w:lang w:val="en-GB"/>
        </w:rPr>
        <w:t xml:space="preserve"> scenarios where multiple </w:t>
      </w:r>
      <w:r w:rsidR="00764F11">
        <w:rPr>
          <w:lang w:val="en-GB"/>
        </w:rPr>
        <w:t xml:space="preserve">PUSCH </w:t>
      </w:r>
      <w:r w:rsidR="00764F11" w:rsidRPr="00764F11">
        <w:rPr>
          <w:lang w:val="en-GB"/>
        </w:rPr>
        <w:t>transmission/reception</w:t>
      </w:r>
      <w:r w:rsidR="0065662D">
        <w:rPr>
          <w:lang w:val="en-GB"/>
        </w:rPr>
        <w:t>s is semi-</w:t>
      </w:r>
      <w:proofErr w:type="spellStart"/>
      <w:r w:rsidR="0065662D">
        <w:rPr>
          <w:lang w:val="en-GB"/>
        </w:rPr>
        <w:t>static</w:t>
      </w:r>
      <w:r w:rsidR="00BA58E0">
        <w:rPr>
          <w:lang w:val="en-GB"/>
        </w:rPr>
        <w:t>cally</w:t>
      </w:r>
      <w:proofErr w:type="spellEnd"/>
      <w:r w:rsidR="0065662D">
        <w:rPr>
          <w:lang w:val="en-GB"/>
        </w:rPr>
        <w:t xml:space="preserve"> configured or scheduled by a single DCI as stated in</w:t>
      </w:r>
      <w:r w:rsidRPr="000A1FA7">
        <w:t xml:space="preserve"> </w:t>
      </w:r>
      <w:r>
        <w:t>TR 38.858</w:t>
      </w:r>
      <w:r>
        <w:rPr>
          <w:lang w:val="en-GB"/>
        </w:rPr>
        <w:t xml:space="preserve">. </w:t>
      </w:r>
      <w:r w:rsidR="00331B1D">
        <w:rPr>
          <w:lang w:val="en-GB"/>
        </w:rPr>
        <w:t>However</w:t>
      </w:r>
      <w:r>
        <w:rPr>
          <w:lang w:val="en-GB"/>
        </w:rPr>
        <w:t>, gNB could still schedul</w:t>
      </w:r>
      <w:r w:rsidR="00971D2D">
        <w:rPr>
          <w:lang w:val="en-GB"/>
        </w:rPr>
        <w:t>e</w:t>
      </w:r>
      <w:r>
        <w:rPr>
          <w:lang w:val="en-GB"/>
        </w:rPr>
        <w:t xml:space="preserve"> UEs to transmit consecutive UL transmissions both in SBFD symbols and non-SBFD symbols, e.g., by scheduling the UEs to transmit in SBFD symbols and non-SBFD symbols by separated DCIs. </w:t>
      </w:r>
      <w:r w:rsidR="00C46963">
        <w:rPr>
          <w:lang w:val="en-GB"/>
        </w:rPr>
        <w:t>There is limit to UE capability to receive up to 2 UL DCIs.</w:t>
      </w:r>
      <w:r w:rsidR="00A42B59">
        <w:rPr>
          <w:lang w:val="en-GB"/>
        </w:rPr>
        <w:t xml:space="preserve"> </w:t>
      </w:r>
      <w:r w:rsidR="002429EC">
        <w:rPr>
          <w:lang w:val="en-GB"/>
        </w:rPr>
        <w:t>This is sufficient to schedule 2 group</w:t>
      </w:r>
      <w:r w:rsidR="005D7C53">
        <w:rPr>
          <w:lang w:val="en-GB"/>
        </w:rPr>
        <w:t>s</w:t>
      </w:r>
      <w:r w:rsidR="002429EC">
        <w:rPr>
          <w:lang w:val="en-GB"/>
        </w:rPr>
        <w:t xml:space="preserve"> of UL transmissions/repetitions in SBFD symbols and non-SBFD symbols within one TDD pattern.</w:t>
      </w:r>
      <w:r>
        <w:rPr>
          <w:lang w:val="en-GB"/>
        </w:rPr>
        <w:t xml:space="preserve"> </w:t>
      </w:r>
    </w:p>
    <w:p w14:paraId="251597D1" w14:textId="77777777" w:rsidR="003B5D8C" w:rsidRDefault="002429EC" w:rsidP="00BE7F78">
      <w:pPr>
        <w:keepNext/>
        <w:jc w:val="center"/>
      </w:pPr>
      <w:r w:rsidRPr="002429EC">
        <w:rPr>
          <w:noProof/>
        </w:rPr>
        <w:drawing>
          <wp:inline distT="0" distB="0" distL="0" distR="0" wp14:anchorId="56EDC9EC" wp14:editId="2A7D854E">
            <wp:extent cx="3792120" cy="3168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3461" cy="3169771"/>
                    </a:xfrm>
                    <a:prstGeom prst="rect">
                      <a:avLst/>
                    </a:prstGeom>
                    <a:noFill/>
                    <a:ln>
                      <a:noFill/>
                    </a:ln>
                  </pic:spPr>
                </pic:pic>
              </a:graphicData>
            </a:graphic>
          </wp:inline>
        </w:drawing>
      </w:r>
    </w:p>
    <w:p w14:paraId="72F5E509" w14:textId="03627D03" w:rsidR="000A1FA7" w:rsidRDefault="003B5D8C" w:rsidP="003B5D8C">
      <w:pPr>
        <w:pStyle w:val="Caption"/>
        <w:jc w:val="center"/>
        <w:rPr>
          <w:lang w:val="en-GB" w:eastAsia="ja-JP"/>
        </w:rPr>
      </w:pPr>
      <w:r>
        <w:t xml:space="preserve">Figure </w:t>
      </w:r>
      <w:r>
        <w:fldChar w:fldCharType="begin"/>
      </w:r>
      <w:r>
        <w:instrText xml:space="preserve"> SEQ Figure \* ARABIC </w:instrText>
      </w:r>
      <w:r>
        <w:fldChar w:fldCharType="separate"/>
      </w:r>
      <w:r w:rsidR="00D32653">
        <w:rPr>
          <w:noProof/>
        </w:rPr>
        <w:t>14</w:t>
      </w:r>
      <w:r>
        <w:fldChar w:fldCharType="end"/>
      </w:r>
      <w:r>
        <w:t xml:space="preserve"> </w:t>
      </w:r>
      <w:r w:rsidRPr="008A73A8">
        <w:t>Option1, different DCIs for scheduling multiple PUSCH transmissions/repetitions in SBFD symbols and non-SBFD symbols</w:t>
      </w:r>
    </w:p>
    <w:p w14:paraId="24784973" w14:textId="6861ABAD" w:rsidR="0065662D" w:rsidRDefault="00DA5D14" w:rsidP="008E0E5F">
      <w:pPr>
        <w:pStyle w:val="BodyText"/>
        <w:rPr>
          <w:lang w:val="en-GB"/>
        </w:rPr>
      </w:pPr>
      <w:r>
        <w:rPr>
          <w:lang w:val="en-GB"/>
        </w:rPr>
        <w:t xml:space="preserve">By using different DCIs for scheduling PUSCHs in SBFD symbols and non-SBFD symbols, one could schedule those PUSCHs with different transmit powers, </w:t>
      </w:r>
      <w:r w:rsidR="001D56FF">
        <w:rPr>
          <w:lang w:val="en-GB"/>
        </w:rPr>
        <w:t>MCS</w:t>
      </w:r>
      <w:r>
        <w:rPr>
          <w:lang w:val="en-GB"/>
        </w:rPr>
        <w:t xml:space="preserve"> selections, and so on for transmissions/repetitions over SBFD symbols and non-SBFD symbols. </w:t>
      </w:r>
    </w:p>
    <w:p w14:paraId="62E36598" w14:textId="21C773A1" w:rsidR="00DA5D14" w:rsidRPr="00311ABB" w:rsidRDefault="00DA5D14" w:rsidP="00BC7758">
      <w:pPr>
        <w:pStyle w:val="Observation"/>
      </w:pPr>
      <w:bookmarkStart w:id="112" w:name="_Toc159244001"/>
      <w:r w:rsidRPr="00DA5D14">
        <w:t xml:space="preserve">Restricting multi-slot </w:t>
      </w:r>
      <w:r>
        <w:t xml:space="preserve">UL </w:t>
      </w:r>
      <w:r w:rsidRPr="00DA5D14">
        <w:t>transmissions to either in SBFD slot or non-SBFD slot (i.e., Option 1) can be supported with</w:t>
      </w:r>
      <w:r>
        <w:t>out degrading on latency or coverage by using multiple DCIs scheduling.</w:t>
      </w:r>
      <w:bookmarkEnd w:id="112"/>
    </w:p>
    <w:p w14:paraId="574E33FD" w14:textId="77777777" w:rsidR="00DA5D14" w:rsidRDefault="00DA5D14" w:rsidP="003F15BE">
      <w:pPr>
        <w:rPr>
          <w:lang w:val="en-GB" w:eastAsia="ja-JP"/>
        </w:rPr>
      </w:pPr>
    </w:p>
    <w:p w14:paraId="2DCF96D2" w14:textId="31FE97A0" w:rsidR="00764F11" w:rsidRPr="005D7C53" w:rsidRDefault="00FB57AC" w:rsidP="003F15BE">
      <w:pPr>
        <w:rPr>
          <w:b/>
          <w:bCs/>
          <w:lang w:val="en-GB" w:eastAsia="ja-JP"/>
        </w:rPr>
      </w:pPr>
      <w:r w:rsidRPr="005D7C53">
        <w:rPr>
          <w:b/>
          <w:bCs/>
          <w:lang w:val="en-GB" w:eastAsia="ja-JP"/>
        </w:rPr>
        <w:t>Option 2</w:t>
      </w:r>
    </w:p>
    <w:p w14:paraId="5413A957" w14:textId="0A10C5A0" w:rsidR="00ED2B0A" w:rsidRPr="004634D8" w:rsidRDefault="00FB57AC" w:rsidP="00841307">
      <w:pPr>
        <w:pStyle w:val="BodyText"/>
        <w:rPr>
          <w:lang w:val="en-GB"/>
        </w:rPr>
      </w:pPr>
      <w:r>
        <w:rPr>
          <w:lang w:val="en-GB"/>
        </w:rPr>
        <w:lastRenderedPageBreak/>
        <w:t xml:space="preserve">In our view, Option 2 could allow UL transmissions/repetitions in both SBFD symbols and non-SBFD symbols including scenarios that multiple UL transmissions/repetitions scheduled by a single DCI. </w:t>
      </w:r>
      <w:r w:rsidR="003139DD" w:rsidRPr="003139DD">
        <w:rPr>
          <w:lang w:val="en-GB"/>
        </w:rPr>
        <w:t xml:space="preserve">In existing specifications, a single indication of frequency domain resource assignment (FDRA) applies to all PUSCH </w:t>
      </w:r>
      <w:r w:rsidR="003139DD">
        <w:rPr>
          <w:lang w:val="en-GB"/>
        </w:rPr>
        <w:t>transmissions/</w:t>
      </w:r>
      <w:r w:rsidR="003139DD" w:rsidRPr="003139DD">
        <w:rPr>
          <w:lang w:val="en-GB"/>
        </w:rPr>
        <w:t>repetitions</w:t>
      </w:r>
      <w:r w:rsidR="003139DD">
        <w:rPr>
          <w:lang w:val="en-GB"/>
        </w:rPr>
        <w:t xml:space="preserve">. </w:t>
      </w:r>
      <w:r w:rsidR="006B1EE0">
        <w:rPr>
          <w:lang w:val="en-GB"/>
        </w:rPr>
        <w:t xml:space="preserve">FDRA includes frequency domain resource allocation and </w:t>
      </w:r>
      <w:r w:rsidR="00CD48EE">
        <w:rPr>
          <w:lang w:val="en-GB"/>
        </w:rPr>
        <w:t xml:space="preserve">frequency offset if frequency hopping is supported. </w:t>
      </w:r>
      <w:r w:rsidR="003139DD">
        <w:rPr>
          <w:lang w:val="en-GB"/>
        </w:rPr>
        <w:t xml:space="preserve">Since the availabilities of frequency resources in SBFD symbols and non-SBFD symbols are different, different FDRAs could be required for Option 2. </w:t>
      </w:r>
      <w:r w:rsidR="00437A77">
        <w:rPr>
          <w:lang w:val="en-GB"/>
        </w:rPr>
        <w:t>Depending on scheduling flexibility, following alternatives could be considered for Option 2.</w:t>
      </w:r>
    </w:p>
    <w:p w14:paraId="41FAC979" w14:textId="7C6ACC86" w:rsidR="00875FA7" w:rsidRDefault="006B1EE0" w:rsidP="00E30677">
      <w:pPr>
        <w:pStyle w:val="BodyText"/>
        <w:numPr>
          <w:ilvl w:val="0"/>
          <w:numId w:val="62"/>
        </w:numPr>
        <w:rPr>
          <w:lang w:val="en-GB"/>
        </w:rPr>
      </w:pPr>
      <w:r w:rsidRPr="004634D8">
        <w:rPr>
          <w:lang w:val="en-GB"/>
        </w:rPr>
        <w:t>D</w:t>
      </w:r>
      <w:r w:rsidR="00437A77" w:rsidRPr="004634D8">
        <w:rPr>
          <w:lang w:val="en-GB"/>
        </w:rPr>
        <w:t xml:space="preserve">ifferent </w:t>
      </w:r>
      <w:bookmarkStart w:id="113" w:name="_Hlk156388271"/>
      <w:r w:rsidR="00CD48EE" w:rsidRPr="004634D8">
        <w:rPr>
          <w:lang w:val="en-GB"/>
        </w:rPr>
        <w:t>frequency domain resource allocations</w:t>
      </w:r>
      <w:r w:rsidR="00437A77" w:rsidRPr="004634D8">
        <w:rPr>
          <w:lang w:val="en-GB"/>
        </w:rPr>
        <w:t xml:space="preserve"> </w:t>
      </w:r>
      <w:bookmarkEnd w:id="113"/>
      <w:r w:rsidR="00437A77" w:rsidRPr="004634D8">
        <w:rPr>
          <w:lang w:val="en-GB"/>
        </w:rPr>
        <w:t xml:space="preserve">could be </w:t>
      </w:r>
      <w:r w:rsidR="00437A77" w:rsidDel="0080662D">
        <w:rPr>
          <w:lang w:val="en-GB"/>
        </w:rPr>
        <w:t>scheduled</w:t>
      </w:r>
      <w:r w:rsidR="00437A77" w:rsidRPr="004634D8">
        <w:rPr>
          <w:lang w:val="en-GB"/>
        </w:rPr>
        <w:t xml:space="preserve"> for SBFD </w:t>
      </w:r>
      <w:r w:rsidR="00D200C6" w:rsidRPr="004634D8">
        <w:rPr>
          <w:lang w:val="en-GB"/>
        </w:rPr>
        <w:t>symbols</w:t>
      </w:r>
      <w:r w:rsidR="00437A77" w:rsidRPr="004634D8">
        <w:rPr>
          <w:lang w:val="en-GB"/>
        </w:rPr>
        <w:t xml:space="preserve"> and non-SBFD </w:t>
      </w:r>
      <w:r w:rsidR="00D200C6" w:rsidRPr="004634D8">
        <w:rPr>
          <w:lang w:val="en-GB"/>
        </w:rPr>
        <w:t>symbols</w:t>
      </w:r>
      <w:r w:rsidR="00437A77" w:rsidRPr="004634D8">
        <w:rPr>
          <w:lang w:val="en-GB"/>
        </w:rPr>
        <w:t>. This alternative gives high scheduling flexibility but require</w:t>
      </w:r>
      <w:r w:rsidR="00BA53C6" w:rsidRPr="004634D8">
        <w:rPr>
          <w:lang w:val="en-GB"/>
        </w:rPr>
        <w:t>s</w:t>
      </w:r>
      <w:r w:rsidR="00437A77" w:rsidRPr="004634D8">
        <w:rPr>
          <w:lang w:val="en-GB"/>
        </w:rPr>
        <w:t xml:space="preserve"> multiple FDRA indicators/configurations and large specification impact.</w:t>
      </w:r>
      <w:r w:rsidR="001173BD" w:rsidRPr="004634D8">
        <w:rPr>
          <w:lang w:val="en-GB"/>
        </w:rPr>
        <w:t xml:space="preserve"> </w:t>
      </w:r>
      <w:r w:rsidR="003372D4" w:rsidRPr="004634D8">
        <w:rPr>
          <w:lang w:val="en-GB"/>
        </w:rPr>
        <w:t>This corresponds to Option 1-1 in TR38.85</w:t>
      </w:r>
      <w:r w:rsidR="006078E4" w:rsidRPr="004634D8">
        <w:rPr>
          <w:lang w:val="en-GB"/>
        </w:rPr>
        <w:t xml:space="preserve"> Under “Option 1: Separate FDRA determination for SBFD slots and non-SBFD slots”</w:t>
      </w:r>
      <w:r w:rsidR="00583C9E">
        <w:rPr>
          <w:lang w:val="en-GB"/>
        </w:rPr>
        <w:t xml:space="preserve"> and illustrated in </w:t>
      </w:r>
      <w:r w:rsidR="009430B6">
        <w:rPr>
          <w:lang w:val="en-GB"/>
        </w:rPr>
        <w:fldChar w:fldCharType="begin"/>
      </w:r>
      <w:r w:rsidR="009430B6">
        <w:rPr>
          <w:lang w:val="en-GB"/>
        </w:rPr>
        <w:instrText xml:space="preserve"> REF _Ref159229202 \h </w:instrText>
      </w:r>
      <w:r w:rsidR="009430B6">
        <w:rPr>
          <w:lang w:val="en-GB"/>
        </w:rPr>
      </w:r>
      <w:r w:rsidR="009430B6">
        <w:rPr>
          <w:lang w:val="en-GB"/>
        </w:rPr>
        <w:fldChar w:fldCharType="separate"/>
      </w:r>
      <w:r w:rsidR="00D32653">
        <w:t xml:space="preserve">Figure </w:t>
      </w:r>
      <w:r w:rsidR="00D32653">
        <w:rPr>
          <w:noProof/>
        </w:rPr>
        <w:t>15</w:t>
      </w:r>
      <w:r w:rsidR="009430B6">
        <w:rPr>
          <w:lang w:val="en-GB"/>
        </w:rPr>
        <w:fldChar w:fldCharType="end"/>
      </w:r>
      <w:r w:rsidR="009430B6">
        <w:rPr>
          <w:lang w:val="en-GB"/>
        </w:rPr>
        <w:t>.</w:t>
      </w:r>
    </w:p>
    <w:p w14:paraId="0FDF5C5F" w14:textId="3D1FEB99" w:rsidR="006E09C0" w:rsidRDefault="006E09C0" w:rsidP="006E09C0">
      <w:pPr>
        <w:pStyle w:val="BodyText"/>
        <w:numPr>
          <w:ilvl w:val="0"/>
          <w:numId w:val="62"/>
        </w:numPr>
        <w:rPr>
          <w:lang w:val="en-GB"/>
        </w:rPr>
      </w:pPr>
      <w:r>
        <w:rPr>
          <w:lang w:val="en-GB"/>
        </w:rPr>
        <w:t>Same frequency domain resource allocation but different frequency offsets (if frequency hopping is supported) could be scheduled for SBFD symbols and non-SBFD symbols. This alternative gives scheduling flexibility (and frequency diversity), could require some enhancement for FDRA indicators/configurations and small specification impact.</w:t>
      </w:r>
      <w:r w:rsidR="00392793">
        <w:rPr>
          <w:lang w:val="en-GB"/>
        </w:rPr>
        <w:t xml:space="preserve"> </w:t>
      </w:r>
      <w:r w:rsidR="00392793" w:rsidRPr="0037218B">
        <w:rPr>
          <w:lang w:val="en-GB"/>
        </w:rPr>
        <w:t>This corresponds to Option 1-</w:t>
      </w:r>
      <w:r w:rsidR="00236714">
        <w:rPr>
          <w:lang w:val="en-GB"/>
        </w:rPr>
        <w:t>2</w:t>
      </w:r>
      <w:r w:rsidR="00392793" w:rsidRPr="0037218B">
        <w:rPr>
          <w:lang w:val="en-GB"/>
        </w:rPr>
        <w:t xml:space="preserve"> in TR38.85 Under “Option 1: Separate FDRA determination for SBFD slots and non-SBFD slots”</w:t>
      </w:r>
      <w:r w:rsidR="00392793">
        <w:rPr>
          <w:lang w:val="en-GB"/>
        </w:rPr>
        <w:t xml:space="preserve"> and illustrated in </w:t>
      </w:r>
      <w:r w:rsidR="00392793">
        <w:rPr>
          <w:lang w:val="en-GB"/>
        </w:rPr>
        <w:fldChar w:fldCharType="begin"/>
      </w:r>
      <w:r w:rsidR="00392793">
        <w:rPr>
          <w:lang w:val="en-GB"/>
        </w:rPr>
        <w:instrText xml:space="preserve"> REF _Ref159229323 \h </w:instrText>
      </w:r>
      <w:r w:rsidR="00392793">
        <w:rPr>
          <w:lang w:val="en-GB"/>
        </w:rPr>
      </w:r>
      <w:r w:rsidR="00392793">
        <w:rPr>
          <w:lang w:val="en-GB"/>
        </w:rPr>
        <w:fldChar w:fldCharType="separate"/>
      </w:r>
      <w:r w:rsidR="00D32653">
        <w:t xml:space="preserve">Figure </w:t>
      </w:r>
      <w:r w:rsidR="00D32653">
        <w:rPr>
          <w:noProof/>
        </w:rPr>
        <w:t>16</w:t>
      </w:r>
      <w:r w:rsidR="00392793">
        <w:rPr>
          <w:lang w:val="en-GB"/>
        </w:rPr>
        <w:fldChar w:fldCharType="end"/>
      </w:r>
      <w:r w:rsidR="00392793">
        <w:rPr>
          <w:lang w:val="en-GB"/>
        </w:rPr>
        <w:t xml:space="preserve">. </w:t>
      </w:r>
    </w:p>
    <w:p w14:paraId="27913FDD" w14:textId="36DE6229" w:rsidR="009C4935" w:rsidRDefault="009C4935" w:rsidP="009C4935">
      <w:pPr>
        <w:pStyle w:val="BodyText"/>
        <w:numPr>
          <w:ilvl w:val="0"/>
          <w:numId w:val="62"/>
        </w:numPr>
        <w:rPr>
          <w:lang w:val="en-GB"/>
        </w:rPr>
      </w:pPr>
      <w:r>
        <w:rPr>
          <w:lang w:val="en-GB"/>
        </w:rPr>
        <w:t>Same frequency domain resource allocation and same frequency offset (if frequency hopping is supported) could be scheduled for SBFD symbols and non-SBFD symbols. This alternative has restricted scheduling flexibility (and less frequency diversity</w:t>
      </w:r>
      <w:proofErr w:type="gramStart"/>
      <w:r>
        <w:rPr>
          <w:lang w:val="en-GB"/>
        </w:rPr>
        <w:t>), but</w:t>
      </w:r>
      <w:proofErr w:type="gramEnd"/>
      <w:r>
        <w:rPr>
          <w:lang w:val="en-GB"/>
        </w:rPr>
        <w:t xml:space="preserve"> requiring no or small specification impact.</w:t>
      </w:r>
      <w:r w:rsidR="00E901D4">
        <w:rPr>
          <w:lang w:val="en-GB"/>
        </w:rPr>
        <w:t xml:space="preserve"> </w:t>
      </w:r>
      <w:r w:rsidR="00E901D4" w:rsidRPr="0037218B">
        <w:rPr>
          <w:lang w:val="en-GB"/>
        </w:rPr>
        <w:t>This corresponds to Option 1-</w:t>
      </w:r>
      <w:r w:rsidR="00E901D4">
        <w:rPr>
          <w:lang w:val="en-GB"/>
        </w:rPr>
        <w:t>3</w:t>
      </w:r>
      <w:r w:rsidR="00E901D4" w:rsidRPr="0037218B">
        <w:rPr>
          <w:lang w:val="en-GB"/>
        </w:rPr>
        <w:t xml:space="preserve"> in TR38.85 Under “Option 1: Separate FDRA determination for SBFD slots and non-SBFD slots”</w:t>
      </w:r>
      <w:r w:rsidR="00E901D4">
        <w:rPr>
          <w:lang w:val="en-GB"/>
        </w:rPr>
        <w:t xml:space="preserve"> and illustrated in</w:t>
      </w:r>
      <w:r w:rsidR="009254FE">
        <w:rPr>
          <w:lang w:val="en-GB"/>
        </w:rPr>
        <w:t xml:space="preserve"> </w:t>
      </w:r>
      <w:r w:rsidR="009254FE">
        <w:rPr>
          <w:lang w:val="en-GB"/>
        </w:rPr>
        <w:fldChar w:fldCharType="begin"/>
      </w:r>
      <w:r w:rsidR="009254FE">
        <w:rPr>
          <w:lang w:val="en-GB"/>
        </w:rPr>
        <w:instrText xml:space="preserve"> REF _Ref159229404 \h </w:instrText>
      </w:r>
      <w:r w:rsidR="009254FE">
        <w:rPr>
          <w:lang w:val="en-GB"/>
        </w:rPr>
      </w:r>
      <w:r w:rsidR="009254FE">
        <w:rPr>
          <w:lang w:val="en-GB"/>
        </w:rPr>
        <w:fldChar w:fldCharType="separate"/>
      </w:r>
      <w:r w:rsidR="00D32653">
        <w:t xml:space="preserve">Figure </w:t>
      </w:r>
      <w:r w:rsidR="00D32653">
        <w:rPr>
          <w:noProof/>
        </w:rPr>
        <w:t>17</w:t>
      </w:r>
      <w:r w:rsidR="009254FE">
        <w:rPr>
          <w:lang w:val="en-GB"/>
        </w:rPr>
        <w:fldChar w:fldCharType="end"/>
      </w:r>
      <w:r w:rsidR="009254FE">
        <w:rPr>
          <w:lang w:val="en-GB"/>
        </w:rPr>
        <w:t>.</w:t>
      </w:r>
    </w:p>
    <w:p w14:paraId="6B3F9599" w14:textId="77777777" w:rsidR="006E09C0" w:rsidRPr="004634D8" w:rsidRDefault="006E09C0" w:rsidP="00285ADD">
      <w:pPr>
        <w:pStyle w:val="BodyText"/>
        <w:rPr>
          <w:lang w:val="en-GB"/>
        </w:rPr>
      </w:pPr>
    </w:p>
    <w:p w14:paraId="01ADF3A1" w14:textId="77777777" w:rsidR="00BE7F78" w:rsidRDefault="008B10FC" w:rsidP="00BE7F78">
      <w:pPr>
        <w:keepNext/>
        <w:jc w:val="center"/>
      </w:pPr>
      <w:r>
        <w:br/>
      </w:r>
      <w:r w:rsidR="00875FA7">
        <w:rPr>
          <w:noProof/>
        </w:rPr>
        <w:drawing>
          <wp:inline distT="0" distB="0" distL="0" distR="0" wp14:anchorId="095DFBE9" wp14:editId="16603169">
            <wp:extent cx="2406669" cy="2088948"/>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406669" cy="2088948"/>
                    </a:xfrm>
                    <a:prstGeom prst="rect">
                      <a:avLst/>
                    </a:prstGeom>
                  </pic:spPr>
                </pic:pic>
              </a:graphicData>
            </a:graphic>
          </wp:inline>
        </w:drawing>
      </w:r>
    </w:p>
    <w:p w14:paraId="5CBB5A52" w14:textId="6C38E3D3" w:rsidR="00437A77" w:rsidRDefault="00BE7F78" w:rsidP="00BE7F78">
      <w:pPr>
        <w:pStyle w:val="Caption"/>
        <w:jc w:val="center"/>
        <w:rPr>
          <w:lang w:val="en-GB" w:eastAsia="ja-JP"/>
        </w:rPr>
      </w:pPr>
      <w:bookmarkStart w:id="114" w:name="_Ref159229202"/>
      <w:r>
        <w:t xml:space="preserve">Figure </w:t>
      </w:r>
      <w:r>
        <w:fldChar w:fldCharType="begin"/>
      </w:r>
      <w:r>
        <w:instrText xml:space="preserve"> SEQ Figure \* ARABIC </w:instrText>
      </w:r>
      <w:r>
        <w:fldChar w:fldCharType="separate"/>
      </w:r>
      <w:r w:rsidR="00D32653">
        <w:rPr>
          <w:noProof/>
        </w:rPr>
        <w:t>15</w:t>
      </w:r>
      <w:r>
        <w:fldChar w:fldCharType="end"/>
      </w:r>
      <w:bookmarkEnd w:id="114"/>
      <w:r>
        <w:t xml:space="preserve"> </w:t>
      </w:r>
      <w:r w:rsidR="00C6170D">
        <w:t>D</w:t>
      </w:r>
      <w:r w:rsidRPr="007A730E">
        <w:t xml:space="preserve">ifferent frequency domain resource allocations could be </w:t>
      </w:r>
      <w:r w:rsidRPr="007A730E" w:rsidDel="004A1159">
        <w:t>scheduled</w:t>
      </w:r>
      <w:r w:rsidRPr="007A730E">
        <w:t xml:space="preserve"> for PUSCH transmissions/repetitions in SBFD symbols and non-SBFD </w:t>
      </w:r>
      <w:proofErr w:type="gramStart"/>
      <w:r w:rsidRPr="007A730E">
        <w:t>symbols</w:t>
      </w:r>
      <w:proofErr w:type="gramEnd"/>
    </w:p>
    <w:p w14:paraId="0B84D007" w14:textId="77777777" w:rsidR="000F101E" w:rsidRDefault="00875FA7" w:rsidP="000F101E">
      <w:pPr>
        <w:keepNext/>
        <w:jc w:val="center"/>
      </w:pPr>
      <w:r w:rsidRPr="00875FA7">
        <w:rPr>
          <w:noProof/>
        </w:rPr>
        <w:lastRenderedPageBreak/>
        <w:drawing>
          <wp:inline distT="0" distB="0" distL="0" distR="0" wp14:anchorId="206DB62C" wp14:editId="40AF07C9">
            <wp:extent cx="2571750" cy="218946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0" cy="2189463"/>
                    </a:xfrm>
                    <a:prstGeom prst="rect">
                      <a:avLst/>
                    </a:prstGeom>
                    <a:noFill/>
                    <a:ln>
                      <a:noFill/>
                    </a:ln>
                  </pic:spPr>
                </pic:pic>
              </a:graphicData>
            </a:graphic>
          </wp:inline>
        </w:drawing>
      </w:r>
    </w:p>
    <w:p w14:paraId="40CB745E" w14:textId="6F53F64A" w:rsidR="00875FA7" w:rsidRDefault="000F101E" w:rsidP="000F101E">
      <w:pPr>
        <w:pStyle w:val="Caption"/>
        <w:jc w:val="center"/>
        <w:rPr>
          <w:lang w:val="en-GB" w:eastAsia="ja-JP"/>
        </w:rPr>
      </w:pPr>
      <w:bookmarkStart w:id="115" w:name="_Ref159229323"/>
      <w:r>
        <w:t xml:space="preserve">Figure </w:t>
      </w:r>
      <w:r>
        <w:fldChar w:fldCharType="begin"/>
      </w:r>
      <w:r>
        <w:instrText xml:space="preserve"> SEQ Figure \* ARABIC </w:instrText>
      </w:r>
      <w:r>
        <w:fldChar w:fldCharType="separate"/>
      </w:r>
      <w:r w:rsidR="00D32653">
        <w:rPr>
          <w:noProof/>
        </w:rPr>
        <w:t>16</w:t>
      </w:r>
      <w:r>
        <w:fldChar w:fldCharType="end"/>
      </w:r>
      <w:bookmarkEnd w:id="115"/>
      <w:r>
        <w:t xml:space="preserve"> </w:t>
      </w:r>
      <w:r w:rsidR="00125D01">
        <w:t>S</w:t>
      </w:r>
      <w:r w:rsidRPr="005E3BC4">
        <w:t>ame frequency domain resource allocations, but different frequency offsets could be scheduled for PUSCH transmissions/repetitions in SBFD symbols and non-SBFD symbols.</w:t>
      </w:r>
    </w:p>
    <w:p w14:paraId="27745ACB" w14:textId="77777777" w:rsidR="00323533" w:rsidRDefault="00875FA7" w:rsidP="00323533">
      <w:pPr>
        <w:keepNext/>
        <w:jc w:val="center"/>
      </w:pPr>
      <w:r w:rsidRPr="00875FA7">
        <w:rPr>
          <w:noProof/>
        </w:rPr>
        <w:drawing>
          <wp:inline distT="0" distB="0" distL="0" distR="0" wp14:anchorId="5EA1EC25" wp14:editId="4CF616D7">
            <wp:extent cx="2550886" cy="21717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0886" cy="2171700"/>
                    </a:xfrm>
                    <a:prstGeom prst="rect">
                      <a:avLst/>
                    </a:prstGeom>
                    <a:noFill/>
                    <a:ln>
                      <a:noFill/>
                    </a:ln>
                  </pic:spPr>
                </pic:pic>
              </a:graphicData>
            </a:graphic>
          </wp:inline>
        </w:drawing>
      </w:r>
    </w:p>
    <w:p w14:paraId="2713ECA7" w14:textId="449C51CE" w:rsidR="00437A77" w:rsidRDefault="00323533" w:rsidP="00323533">
      <w:pPr>
        <w:pStyle w:val="Caption"/>
        <w:jc w:val="center"/>
        <w:rPr>
          <w:lang w:val="en-GB" w:eastAsia="ja-JP"/>
        </w:rPr>
      </w:pPr>
      <w:bookmarkStart w:id="116" w:name="_Ref159229404"/>
      <w:r>
        <w:t xml:space="preserve">Figure </w:t>
      </w:r>
      <w:r>
        <w:fldChar w:fldCharType="begin"/>
      </w:r>
      <w:r>
        <w:instrText xml:space="preserve"> SEQ Figure \* ARABIC </w:instrText>
      </w:r>
      <w:r>
        <w:fldChar w:fldCharType="separate"/>
      </w:r>
      <w:r w:rsidR="00D32653">
        <w:rPr>
          <w:noProof/>
        </w:rPr>
        <w:t>17</w:t>
      </w:r>
      <w:r>
        <w:fldChar w:fldCharType="end"/>
      </w:r>
      <w:bookmarkEnd w:id="116"/>
      <w:r>
        <w:t xml:space="preserve"> </w:t>
      </w:r>
      <w:r w:rsidR="004B2DB4">
        <w:t>S</w:t>
      </w:r>
      <w:r w:rsidRPr="00E275EB">
        <w:t xml:space="preserve">ame frequency domain resource allocation and same frequency offset could be scheduled for PUSCH transmissions/repetitions in SBFD symbols and non-SBFD </w:t>
      </w:r>
      <w:proofErr w:type="gramStart"/>
      <w:r w:rsidRPr="00E275EB">
        <w:t>symbols</w:t>
      </w:r>
      <w:proofErr w:type="gramEnd"/>
    </w:p>
    <w:p w14:paraId="499F804D" w14:textId="77777777" w:rsidR="0085591C" w:rsidRDefault="0085591C" w:rsidP="006B1EE0">
      <w:pPr>
        <w:jc w:val="center"/>
        <w:rPr>
          <w:lang w:val="en-GB" w:eastAsia="ja-JP"/>
        </w:rPr>
      </w:pPr>
    </w:p>
    <w:p w14:paraId="1DC03318" w14:textId="3F206656" w:rsidR="00437A77" w:rsidRDefault="00875FA7" w:rsidP="00841307">
      <w:pPr>
        <w:pStyle w:val="BodyText"/>
        <w:rPr>
          <w:lang w:val="en-GB"/>
        </w:rPr>
      </w:pPr>
      <w:r>
        <w:rPr>
          <w:lang w:val="en-GB"/>
        </w:rPr>
        <w:t>In our view,</w:t>
      </w:r>
      <w:r w:rsidR="00DA5D14">
        <w:rPr>
          <w:lang w:val="en-GB"/>
        </w:rPr>
        <w:t xml:space="preserve"> if </w:t>
      </w:r>
      <w:r w:rsidR="000133A8" w:rsidRPr="00DA5D14">
        <w:t xml:space="preserve">multi-slot </w:t>
      </w:r>
      <w:r w:rsidR="000133A8">
        <w:t xml:space="preserve">UL </w:t>
      </w:r>
      <w:r w:rsidR="000133A8" w:rsidRPr="00DA5D14">
        <w:t>transmissions</w:t>
      </w:r>
      <w:r w:rsidR="000133A8">
        <w:t xml:space="preserve"> </w:t>
      </w:r>
      <w:r w:rsidR="003F39FC">
        <w:t>are</w:t>
      </w:r>
      <w:r w:rsidR="000133A8">
        <w:t xml:space="preserve"> restricted to Option 2</w:t>
      </w:r>
      <w:r w:rsidR="00DA5D14">
        <w:t>,</w:t>
      </w:r>
      <w:r>
        <w:rPr>
          <w:lang w:val="en-GB"/>
        </w:rPr>
        <w:t xml:space="preserve"> </w:t>
      </w:r>
      <w:r w:rsidR="00CC2F6A">
        <w:rPr>
          <w:lang w:val="en-GB"/>
        </w:rPr>
        <w:t xml:space="preserve">the last two </w:t>
      </w:r>
      <w:proofErr w:type="spellStart"/>
      <w:r w:rsidR="00CC2F6A">
        <w:rPr>
          <w:lang w:val="en-GB"/>
        </w:rPr>
        <w:t>alterrnatives</w:t>
      </w:r>
      <w:proofErr w:type="spellEnd"/>
      <w:r>
        <w:rPr>
          <w:lang w:val="en-GB"/>
        </w:rPr>
        <w:t xml:space="preserve"> provide trade-off between scheduling flexibility and specification impact. </w:t>
      </w:r>
    </w:p>
    <w:p w14:paraId="47E7BD4D" w14:textId="2B9C21C0" w:rsidR="000133A8" w:rsidRDefault="000133A8" w:rsidP="000133A8">
      <w:pPr>
        <w:pStyle w:val="Proposal"/>
      </w:pPr>
      <w:bookmarkStart w:id="117" w:name="_Toc159244029"/>
      <w:r>
        <w:t xml:space="preserve">If </w:t>
      </w:r>
      <w:r w:rsidRPr="000133A8">
        <w:t>multi-slot UL transmissions is restricted to Option 2</w:t>
      </w:r>
      <w:r>
        <w:t>, support single frequency domain resource allocation for PUSCH over SBFD symbols and non-SBFD symbols with potential enhancement on frequency hopping offset</w:t>
      </w:r>
      <w:r w:rsidR="00E17A51">
        <w:t>, correspond to Options 1-</w:t>
      </w:r>
      <w:r w:rsidR="007A026E">
        <w:t>2</w:t>
      </w:r>
      <w:r w:rsidR="00E17A51">
        <w:t xml:space="preserve"> and Option 1-</w:t>
      </w:r>
      <w:r w:rsidR="007A026E">
        <w:t xml:space="preserve">3 </w:t>
      </w:r>
      <w:proofErr w:type="spellStart"/>
      <w:r w:rsidR="007A026E">
        <w:t>unde</w:t>
      </w:r>
      <w:proofErr w:type="spellEnd"/>
      <w:r w:rsidR="007A026E" w:rsidRPr="0037218B">
        <w:rPr>
          <w:lang w:val="en-GB"/>
        </w:rPr>
        <w:t>r “Option 1: Separate FDRA determination for SBFD slots and non-SBFD slots”</w:t>
      </w:r>
      <w:r w:rsidR="007A026E">
        <w:rPr>
          <w:lang w:val="en-GB"/>
        </w:rPr>
        <w:t xml:space="preserve"> in TR38.858</w:t>
      </w:r>
      <w:r>
        <w:t>.</w:t>
      </w:r>
      <w:bookmarkEnd w:id="117"/>
    </w:p>
    <w:p w14:paraId="572EE049" w14:textId="77777777" w:rsidR="00C90AE9" w:rsidRDefault="00C90AE9" w:rsidP="00B67EFF"/>
    <w:p w14:paraId="7D33D0A8" w14:textId="4A83EC0D" w:rsidR="00C83932" w:rsidRDefault="002C7526" w:rsidP="000641EF">
      <w:pPr>
        <w:pStyle w:val="Heading3"/>
      </w:pPr>
      <w:r>
        <w:t>3.5</w:t>
      </w:r>
      <w:r w:rsidR="00C83932">
        <w:t>.</w:t>
      </w:r>
      <w:r w:rsidR="00761936">
        <w:t>2</w:t>
      </w:r>
      <w:r w:rsidR="00C83932">
        <w:tab/>
      </w:r>
      <w:r w:rsidR="00732B32">
        <w:t xml:space="preserve">PUSCH </w:t>
      </w:r>
      <w:proofErr w:type="spellStart"/>
      <w:r w:rsidR="00C83932">
        <w:t>TBoMS</w:t>
      </w:r>
      <w:proofErr w:type="spellEnd"/>
    </w:p>
    <w:p w14:paraId="27A38ABE" w14:textId="77777777" w:rsidR="00C83932" w:rsidRDefault="00C83932" w:rsidP="00C83932">
      <w:pPr>
        <w:pStyle w:val="BodyText"/>
        <w:rPr>
          <w:lang w:val="en-GB"/>
        </w:rPr>
      </w:pPr>
      <w:r w:rsidRPr="00322451">
        <w:rPr>
          <w:lang w:val="en-GB"/>
        </w:rPr>
        <w:t>In</w:t>
      </w:r>
      <w:r>
        <w:rPr>
          <w:lang w:val="en-GB"/>
        </w:rPr>
        <w:t xml:space="preserve"> PUSCH</w:t>
      </w:r>
      <w:r w:rsidRPr="00322451">
        <w:rPr>
          <w:lang w:val="en-GB"/>
        </w:rPr>
        <w:t xml:space="preserve"> </w:t>
      </w:r>
      <w:proofErr w:type="spellStart"/>
      <w:r w:rsidRPr="00322451">
        <w:rPr>
          <w:lang w:val="en-GB"/>
        </w:rPr>
        <w:t>TBoMS</w:t>
      </w:r>
      <w:proofErr w:type="spellEnd"/>
      <w:r w:rsidRPr="00322451">
        <w:rPr>
          <w:lang w:val="en-GB"/>
        </w:rPr>
        <w:t xml:space="preserve">, a single TB is transmitted over multiple slots. Its transport block size (TBS) is determined based on all the allocated REs in these slots and is no larger than the maximum size of one code block. </w:t>
      </w:r>
      <w:proofErr w:type="spellStart"/>
      <w:r>
        <w:rPr>
          <w:lang w:val="en-GB"/>
        </w:rPr>
        <w:t>T</w:t>
      </w:r>
      <w:r w:rsidRPr="00322451">
        <w:rPr>
          <w:lang w:val="en-GB"/>
        </w:rPr>
        <w:t>BoMS</w:t>
      </w:r>
      <w:proofErr w:type="spellEnd"/>
      <w:r w:rsidRPr="00322451">
        <w:rPr>
          <w:lang w:val="en-GB"/>
        </w:rPr>
        <w:t xml:space="preserve"> uses PUSCH repetition Type A-like time domain </w:t>
      </w:r>
      <w:r>
        <w:rPr>
          <w:lang w:val="en-GB"/>
        </w:rPr>
        <w:t xml:space="preserve">and frequency domain </w:t>
      </w:r>
      <w:r w:rsidRPr="00322451">
        <w:rPr>
          <w:lang w:val="en-GB"/>
        </w:rPr>
        <w:t xml:space="preserve">resource allocation, that is, the same UL symbols and the same number of PRBs are allocated across the slots of a </w:t>
      </w:r>
      <w:proofErr w:type="spellStart"/>
      <w:r w:rsidRPr="00322451">
        <w:rPr>
          <w:lang w:val="en-GB"/>
        </w:rPr>
        <w:t>TBoMS</w:t>
      </w:r>
      <w:proofErr w:type="spellEnd"/>
      <w:r w:rsidRPr="00322451">
        <w:rPr>
          <w:lang w:val="en-GB"/>
        </w:rPr>
        <w:t>.</w:t>
      </w:r>
      <w:r>
        <w:rPr>
          <w:lang w:val="en-GB"/>
        </w:rPr>
        <w:t xml:space="preserve"> </w:t>
      </w:r>
      <w:proofErr w:type="spellStart"/>
      <w:r>
        <w:rPr>
          <w:lang w:val="en-GB"/>
        </w:rPr>
        <w:t>TBoMS</w:t>
      </w:r>
      <w:proofErr w:type="spellEnd"/>
      <w:r>
        <w:rPr>
          <w:lang w:val="en-GB"/>
        </w:rPr>
        <w:t xml:space="preserve"> can be used in combination with PUSCH repetition, when the number of repetitions is present in the indicated row in the configured time domain resource allocation table, generating N*K PUSCH transmission occasions (K is the number of repetition and N is the number of slots for each PUSCH transmission). </w:t>
      </w:r>
      <w:proofErr w:type="spellStart"/>
      <w:r>
        <w:rPr>
          <w:lang w:val="en-GB"/>
        </w:rPr>
        <w:t>TBoMS</w:t>
      </w:r>
      <w:proofErr w:type="spellEnd"/>
      <w:r>
        <w:rPr>
          <w:lang w:val="en-GB"/>
        </w:rPr>
        <w:t xml:space="preserve"> can also be used </w:t>
      </w:r>
      <w:r>
        <w:rPr>
          <w:lang w:val="en-GB"/>
        </w:rPr>
        <w:lastRenderedPageBreak/>
        <w:t xml:space="preserve">with available slot counting. When available slot counting is enabled, </w:t>
      </w:r>
      <w:proofErr w:type="spellStart"/>
      <w:r>
        <w:rPr>
          <w:lang w:val="en-GB"/>
        </w:rPr>
        <w:t>TBoMS</w:t>
      </w:r>
      <w:proofErr w:type="spellEnd"/>
      <w:r>
        <w:rPr>
          <w:lang w:val="en-GB"/>
        </w:rPr>
        <w:t xml:space="preserve"> transmits only in UL slots determined based on the common and/or dedicated TDD configuration and SSB transmission.</w:t>
      </w:r>
    </w:p>
    <w:p w14:paraId="480E6294" w14:textId="4A321153" w:rsidR="00C83932" w:rsidRDefault="00C83932" w:rsidP="00C83932">
      <w:pPr>
        <w:pStyle w:val="BodyText"/>
        <w:rPr>
          <w:lang w:val="en-GB"/>
        </w:rPr>
      </w:pPr>
      <w:proofErr w:type="spellStart"/>
      <w:r>
        <w:rPr>
          <w:lang w:val="en-GB"/>
        </w:rPr>
        <w:t>TBoMS</w:t>
      </w:r>
      <w:proofErr w:type="spellEnd"/>
      <w:r>
        <w:rPr>
          <w:lang w:val="en-GB"/>
        </w:rPr>
        <w:t xml:space="preserve"> can be considered as an extension of PUSCH repetition Type A, where each PUSCH is transmitted in multiple consecutive physical slots (when consecutive slot counting is used) or consecutive UL slots (when available slot counting is enabled). In this sense the discussion presented in the previous section on PUSCH repetition in SBFD operation is also applicable to </w:t>
      </w:r>
      <w:proofErr w:type="spellStart"/>
      <w:r>
        <w:rPr>
          <w:lang w:val="en-GB"/>
        </w:rPr>
        <w:t>TBoMS</w:t>
      </w:r>
      <w:proofErr w:type="spellEnd"/>
      <w:r>
        <w:rPr>
          <w:lang w:val="en-GB"/>
        </w:rPr>
        <w:t xml:space="preserve">. If </w:t>
      </w:r>
      <w:proofErr w:type="spellStart"/>
      <w:r>
        <w:rPr>
          <w:lang w:val="en-GB"/>
        </w:rPr>
        <w:t>Opion</w:t>
      </w:r>
      <w:proofErr w:type="spellEnd"/>
      <w:r>
        <w:rPr>
          <w:lang w:val="en-GB"/>
        </w:rPr>
        <w:t xml:space="preserve"> 1 (</w:t>
      </w:r>
      <w:r w:rsidRPr="008528BB">
        <w:rPr>
          <w:lang w:val="en-GB"/>
        </w:rPr>
        <w:t>PUSCH transmissions are restricted to SBFD symbols only or non-SBFD symbols only in multiple slots</w:t>
      </w:r>
      <w:r>
        <w:rPr>
          <w:lang w:val="en-GB"/>
        </w:rPr>
        <w:t xml:space="preserve">) is adopted, </w:t>
      </w:r>
      <w:proofErr w:type="spellStart"/>
      <w:r>
        <w:rPr>
          <w:lang w:val="en-GB"/>
        </w:rPr>
        <w:t>TBoMS</w:t>
      </w:r>
      <w:proofErr w:type="spellEnd"/>
      <w:r>
        <w:rPr>
          <w:lang w:val="en-GB"/>
        </w:rPr>
        <w:t xml:space="preserve"> transmissions can only occur in either SBFD or non-SBFD slots. If Option 2 (PUSCH transmissions can be in SBFD symbols or non-SBFD symbols in multiple slots) is adopted, </w:t>
      </w:r>
      <w:proofErr w:type="spellStart"/>
      <w:r>
        <w:rPr>
          <w:lang w:val="en-GB"/>
        </w:rPr>
        <w:t>TBoMS</w:t>
      </w:r>
      <w:proofErr w:type="spellEnd"/>
      <w:r>
        <w:rPr>
          <w:lang w:val="en-GB"/>
        </w:rPr>
        <w:t xml:space="preserve"> transmissions can occur in both SBFD and non-SBFD slots. According to the current specification </w:t>
      </w:r>
      <w:proofErr w:type="spellStart"/>
      <w:r>
        <w:rPr>
          <w:lang w:val="en-GB"/>
        </w:rPr>
        <w:t>TBoMS</w:t>
      </w:r>
      <w:proofErr w:type="spellEnd"/>
      <w:r>
        <w:rPr>
          <w:lang w:val="en-GB"/>
        </w:rPr>
        <w:t xml:space="preserve"> transmission occasions colliding with DL slots should be omitted. In this case </w:t>
      </w:r>
      <w:r w:rsidR="00821C27">
        <w:rPr>
          <w:lang w:val="en-GB"/>
        </w:rPr>
        <w:t>a</w:t>
      </w:r>
      <w:r>
        <w:rPr>
          <w:lang w:val="en-GB"/>
        </w:rPr>
        <w:t xml:space="preserve"> single FDRA included in the scheduling DCI or in the CG PUSCH configuration can indicate a set of VRBs which is mapped to different set of PRBs in the SBFD or non-SBFD slots. Per slot rate matching can be performed when there are not enough PRBs due to reduced resource in UL subband in SBFD slots.</w:t>
      </w:r>
    </w:p>
    <w:p w14:paraId="2DBA1C80" w14:textId="45104CB8" w:rsidR="00C83932" w:rsidRDefault="00367B6E" w:rsidP="00C83932">
      <w:pPr>
        <w:pStyle w:val="BodyText"/>
        <w:keepNext/>
        <w:jc w:val="center"/>
      </w:pPr>
      <w:r w:rsidRPr="00367B6E">
        <w:rPr>
          <w:noProof/>
        </w:rPr>
        <w:drawing>
          <wp:inline distT="0" distB="0" distL="0" distR="0" wp14:anchorId="28BDF806" wp14:editId="566CB8D0">
            <wp:extent cx="6120765" cy="2593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593975"/>
                    </a:xfrm>
                    <a:prstGeom prst="rect">
                      <a:avLst/>
                    </a:prstGeom>
                    <a:noFill/>
                    <a:ln>
                      <a:noFill/>
                    </a:ln>
                  </pic:spPr>
                </pic:pic>
              </a:graphicData>
            </a:graphic>
          </wp:inline>
        </w:drawing>
      </w:r>
    </w:p>
    <w:p w14:paraId="7C3B8A11" w14:textId="784C56F4" w:rsidR="00C83932" w:rsidRDefault="00C83932" w:rsidP="00C83932">
      <w:pPr>
        <w:pStyle w:val="Caption"/>
        <w:jc w:val="center"/>
      </w:pPr>
      <w:bookmarkStart w:id="118" w:name="_Ref157589443"/>
      <w:r>
        <w:t xml:space="preserve">Figure </w:t>
      </w:r>
      <w:r>
        <w:fldChar w:fldCharType="begin"/>
      </w:r>
      <w:r>
        <w:instrText xml:space="preserve"> SEQ Figure \* ARABIC </w:instrText>
      </w:r>
      <w:r>
        <w:fldChar w:fldCharType="separate"/>
      </w:r>
      <w:r w:rsidR="00D32653">
        <w:rPr>
          <w:noProof/>
        </w:rPr>
        <w:t>18</w:t>
      </w:r>
      <w:r>
        <w:fldChar w:fldCharType="end"/>
      </w:r>
      <w:bookmarkEnd w:id="118"/>
      <w:r>
        <w:t xml:space="preserve"> </w:t>
      </w:r>
      <w:proofErr w:type="spellStart"/>
      <w:r>
        <w:t>TBoMS</w:t>
      </w:r>
      <w:proofErr w:type="spellEnd"/>
      <w:r>
        <w:t xml:space="preserve"> in a SBFD system</w:t>
      </w:r>
    </w:p>
    <w:p w14:paraId="132CBA85" w14:textId="77777777" w:rsidR="00C83932" w:rsidRDefault="00C83932" w:rsidP="00C83932">
      <w:pPr>
        <w:pStyle w:val="BodyText"/>
      </w:pPr>
    </w:p>
    <w:p w14:paraId="35FC3C09" w14:textId="7D947FC9" w:rsidR="00C83932" w:rsidRDefault="00432B22" w:rsidP="00C83932">
      <w:pPr>
        <w:pStyle w:val="BodyText"/>
      </w:pPr>
      <w:r>
        <w:fldChar w:fldCharType="begin"/>
      </w:r>
      <w:r>
        <w:instrText xml:space="preserve"> REF _Ref157589443 \h </w:instrText>
      </w:r>
      <w:r>
        <w:fldChar w:fldCharType="separate"/>
      </w:r>
      <w:r w:rsidR="00D32653">
        <w:t xml:space="preserve">Figure </w:t>
      </w:r>
      <w:r w:rsidR="00D32653">
        <w:rPr>
          <w:noProof/>
        </w:rPr>
        <w:t>18</w:t>
      </w:r>
      <w:r>
        <w:fldChar w:fldCharType="end"/>
      </w:r>
      <w:r>
        <w:t xml:space="preserve"> illustrates</w:t>
      </w:r>
      <w:r w:rsidR="00C83932">
        <w:t xml:space="preserve"> two examples of </w:t>
      </w:r>
      <w:proofErr w:type="spellStart"/>
      <w:r w:rsidR="00C83932">
        <w:t>TBoMS</w:t>
      </w:r>
      <w:proofErr w:type="spellEnd"/>
      <w:r w:rsidR="00C83932">
        <w:t xml:space="preserve"> transmission in </w:t>
      </w:r>
      <w:r w:rsidR="00367B6E">
        <w:t>8 consecutive slot</w:t>
      </w:r>
      <w:r w:rsidR="006234CC">
        <w:t>s</w:t>
      </w:r>
      <w:r w:rsidR="00C83932">
        <w:t xml:space="preserve"> in a SBFD system </w:t>
      </w:r>
      <w:r w:rsidR="00C83932">
        <w:rPr>
          <w:lang w:val="en-GB"/>
        </w:rPr>
        <w:t>with TDD pattern DXXXU and SBFD configuration D-U-D</w:t>
      </w:r>
      <w:r w:rsidR="00C83932">
        <w:t xml:space="preserve">. The left example is for Option 1 where </w:t>
      </w:r>
      <w:proofErr w:type="spellStart"/>
      <w:r w:rsidR="00C83932">
        <w:t>TBoMS</w:t>
      </w:r>
      <w:proofErr w:type="spellEnd"/>
      <w:r w:rsidR="00C83932">
        <w:t xml:space="preserve"> transmissions are restricted to SBFD slots only and the right example is for Option 2 with </w:t>
      </w:r>
      <w:proofErr w:type="spellStart"/>
      <w:r w:rsidR="00C83932">
        <w:t>TBoMS</w:t>
      </w:r>
      <w:proofErr w:type="spellEnd"/>
      <w:r w:rsidR="00C83932">
        <w:t xml:space="preserve"> transmissions occur in SBFD and non-SBFD slots.</w:t>
      </w:r>
    </w:p>
    <w:p w14:paraId="45604AD1" w14:textId="753A02ED" w:rsidR="002743FE" w:rsidRDefault="002743FE" w:rsidP="00C83932">
      <w:pPr>
        <w:pStyle w:val="BodyText"/>
      </w:pPr>
      <w:r>
        <w:t xml:space="preserve">Inter-slot frequency hopping is </w:t>
      </w:r>
      <w:r w:rsidR="000858D1">
        <w:t xml:space="preserve">supported for </w:t>
      </w:r>
      <w:proofErr w:type="spellStart"/>
      <w:r w:rsidR="000858D1">
        <w:t>TBoMS</w:t>
      </w:r>
      <w:proofErr w:type="spellEnd"/>
      <w:r w:rsidR="000858D1">
        <w:t xml:space="preserve">. The discussion on inter-slot frequency hopping for </w:t>
      </w:r>
      <w:r w:rsidR="00723B65">
        <w:t xml:space="preserve">multi-slot </w:t>
      </w:r>
      <w:r w:rsidR="000858D1">
        <w:t xml:space="preserve">PUSCH </w:t>
      </w:r>
      <w:r w:rsidR="00723B65">
        <w:t xml:space="preserve">transmission </w:t>
      </w:r>
      <w:r w:rsidR="000858D1">
        <w:t xml:space="preserve">in the previous section is </w:t>
      </w:r>
      <w:r>
        <w:t xml:space="preserve">also </w:t>
      </w:r>
      <w:r w:rsidR="00486878">
        <w:t>applicable to</w:t>
      </w:r>
      <w:r>
        <w:t xml:space="preserve"> </w:t>
      </w:r>
      <w:proofErr w:type="spellStart"/>
      <w:r>
        <w:t>TBoMS</w:t>
      </w:r>
      <w:proofErr w:type="spellEnd"/>
      <w:r w:rsidR="00933E2A">
        <w:t>.</w:t>
      </w:r>
    </w:p>
    <w:p w14:paraId="0B19F24A" w14:textId="2B22AE99" w:rsidR="00AC731C" w:rsidRDefault="00AC731C" w:rsidP="00C83932">
      <w:pPr>
        <w:pStyle w:val="BodyText"/>
      </w:pPr>
      <w:r>
        <w:t xml:space="preserve">In general we think that </w:t>
      </w:r>
      <w:proofErr w:type="spellStart"/>
      <w:r>
        <w:t>TBoMS</w:t>
      </w:r>
      <w:proofErr w:type="spellEnd"/>
      <w:r>
        <w:t xml:space="preserve"> is a special case of PUSCH repetitions</w:t>
      </w:r>
      <w:r w:rsidR="00DB0765">
        <w:t xml:space="preserve"> Type A</w:t>
      </w:r>
      <w:r>
        <w:t xml:space="preserve">. The observations and proposal we conclude in in the previous </w:t>
      </w:r>
      <w:r w:rsidR="00FA099C">
        <w:t>sub-</w:t>
      </w:r>
      <w:r>
        <w:t xml:space="preserve">sections for PUSCH are also applicable for </w:t>
      </w:r>
      <w:proofErr w:type="spellStart"/>
      <w:r>
        <w:t>TBoMS</w:t>
      </w:r>
      <w:proofErr w:type="spellEnd"/>
      <w:r>
        <w:t xml:space="preserve"> in SBFD operation.</w:t>
      </w:r>
    </w:p>
    <w:p w14:paraId="5B8E06E2" w14:textId="602167BB" w:rsidR="00DB0765" w:rsidRDefault="00DB0765" w:rsidP="00DB0765">
      <w:pPr>
        <w:pStyle w:val="Observation"/>
      </w:pPr>
      <w:bookmarkStart w:id="119" w:name="_Toc159244002"/>
      <w:proofErr w:type="spellStart"/>
      <w:r>
        <w:t>TBoMS</w:t>
      </w:r>
      <w:proofErr w:type="spellEnd"/>
      <w:r>
        <w:t xml:space="preserve"> can be considered as a special case of PUSCH Repetition Type A. The </w:t>
      </w:r>
      <w:proofErr w:type="spellStart"/>
      <w:r>
        <w:t>TBoMS</w:t>
      </w:r>
      <w:proofErr w:type="spellEnd"/>
      <w:r>
        <w:t xml:space="preserve"> behaviors in SBFD operation can be discussed together with </w:t>
      </w:r>
      <w:r w:rsidR="00D608A8">
        <w:t>the</w:t>
      </w:r>
      <w:r>
        <w:t xml:space="preserve"> normal PUSCH repetition.</w:t>
      </w:r>
      <w:bookmarkEnd w:id="119"/>
    </w:p>
    <w:p w14:paraId="30661195" w14:textId="77777777" w:rsidR="00CB7AAF" w:rsidRPr="006053B8" w:rsidRDefault="00CB7AAF" w:rsidP="00F47A3C"/>
    <w:p w14:paraId="488D2799" w14:textId="3A8C6D9A" w:rsidR="00A279C9" w:rsidRPr="00E7135D" w:rsidRDefault="008536CA" w:rsidP="00E7135D">
      <w:pPr>
        <w:pStyle w:val="Heading2"/>
      </w:pPr>
      <w:r>
        <w:t>3.6</w:t>
      </w:r>
      <w:r w:rsidR="00E04DD0">
        <w:tab/>
        <w:t xml:space="preserve">UL power control </w:t>
      </w:r>
    </w:p>
    <w:tbl>
      <w:tblPr>
        <w:tblStyle w:val="TableGrid"/>
        <w:tblW w:w="0" w:type="auto"/>
        <w:tblLook w:val="04A0" w:firstRow="1" w:lastRow="0" w:firstColumn="1" w:lastColumn="0" w:noHBand="0" w:noVBand="1"/>
      </w:tblPr>
      <w:tblGrid>
        <w:gridCol w:w="9629"/>
      </w:tblGrid>
      <w:tr w:rsidR="00B63E65" w14:paraId="790B7251" w14:textId="77777777" w:rsidTr="00B63E65">
        <w:tc>
          <w:tcPr>
            <w:tcW w:w="9629" w:type="dxa"/>
          </w:tcPr>
          <w:p w14:paraId="792379FF" w14:textId="618C2212" w:rsidR="00C42BFD" w:rsidRPr="004634D8" w:rsidRDefault="00C42BFD">
            <w:pPr>
              <w:rPr>
                <w:rFonts w:cs="Arial"/>
                <w:szCs w:val="20"/>
              </w:rPr>
            </w:pPr>
            <w:r w:rsidRPr="004634D8">
              <w:rPr>
                <w:rFonts w:cs="Arial"/>
                <w:szCs w:val="20"/>
              </w:rPr>
              <w:t>From TR38.858:</w:t>
            </w:r>
          </w:p>
          <w:p w14:paraId="74D70C9A" w14:textId="1E1DE0A9" w:rsidR="00B63E65" w:rsidRPr="004634D8" w:rsidRDefault="00B63E65" w:rsidP="004634D8">
            <w:pPr>
              <w:rPr>
                <w:rFonts w:ascii="Times New Roman" w:hAnsi="Times New Roman" w:cs="Times New Roman"/>
                <w:lang w:eastAsia="ja-JP"/>
              </w:rPr>
            </w:pPr>
            <w:r w:rsidRPr="004634D8">
              <w:rPr>
                <w:rFonts w:ascii="Times New Roman" w:hAnsi="Times New Roman" w:cs="Times New Roman"/>
                <w:szCs w:val="20"/>
              </w:rPr>
              <w:lastRenderedPageBreak/>
              <w:t xml:space="preserve">For SRS, PUCCH and PUSCH on SBFD symbols and non-SBFD symbols in different slots, it may be beneficial to have separate resources, FH parameters, </w:t>
            </w:r>
            <w:r w:rsidRPr="004634D8">
              <w:rPr>
                <w:rFonts w:ascii="Times New Roman" w:hAnsi="Times New Roman" w:cs="Times New Roman"/>
                <w:szCs w:val="20"/>
                <w:highlight w:val="yellow"/>
              </w:rPr>
              <w:t>UL power control parameters</w:t>
            </w:r>
            <w:r w:rsidRPr="004634D8">
              <w:rPr>
                <w:rFonts w:ascii="Times New Roman" w:hAnsi="Times New Roman" w:cs="Times New Roman"/>
                <w:szCs w:val="20"/>
              </w:rPr>
              <w:t xml:space="preserve"> and/or beam/spatial relation.</w:t>
            </w:r>
          </w:p>
        </w:tc>
      </w:tr>
    </w:tbl>
    <w:p w14:paraId="3CFA8BED" w14:textId="77777777" w:rsidR="00B63E65" w:rsidRDefault="00B63E65" w:rsidP="009B1C03">
      <w:pPr>
        <w:jc w:val="both"/>
        <w:rPr>
          <w:lang w:eastAsia="ja-JP"/>
        </w:rPr>
      </w:pPr>
    </w:p>
    <w:p w14:paraId="40B2F681" w14:textId="04998B48" w:rsidR="009B1C03" w:rsidRPr="008F45E7" w:rsidRDefault="009B1C03" w:rsidP="00406463">
      <w:pPr>
        <w:pStyle w:val="BodyText"/>
        <w:rPr>
          <w:lang w:val="en-GB" w:eastAsia="ja-JP"/>
        </w:rPr>
      </w:pPr>
      <w:r>
        <w:rPr>
          <w:lang w:eastAsia="ja-JP"/>
        </w:rPr>
        <w:t xml:space="preserve">The </w:t>
      </w:r>
      <w:r w:rsidR="00EB7707">
        <w:rPr>
          <w:lang w:eastAsia="ja-JP"/>
        </w:rPr>
        <w:t>cited text from TR 38.858 above</w:t>
      </w:r>
      <w:r>
        <w:rPr>
          <w:lang w:eastAsia="ja-JP"/>
        </w:rPr>
        <w:t xml:space="preserve"> states that </w:t>
      </w:r>
      <w:r>
        <w:rPr>
          <w:lang w:val="en-GB" w:eastAsia="ja-JP"/>
        </w:rPr>
        <w:t>it may be beneficial to have separate</w:t>
      </w:r>
      <w:r w:rsidRPr="00312182">
        <w:t xml:space="preserve"> </w:t>
      </w:r>
      <w:r w:rsidRPr="00312182">
        <w:rPr>
          <w:lang w:val="en-GB" w:eastAsia="ja-JP"/>
        </w:rPr>
        <w:t>power control parameters</w:t>
      </w:r>
      <w:r>
        <w:rPr>
          <w:lang w:val="en-GB" w:eastAsia="ja-JP"/>
        </w:rPr>
        <w:t xml:space="preserve"> in SBFD and non-SBFD symbols. Here we elaborate </w:t>
      </w:r>
      <w:r w:rsidR="00CF2FE3">
        <w:rPr>
          <w:lang w:val="en-GB" w:eastAsia="ja-JP"/>
        </w:rPr>
        <w:t>our observation</w:t>
      </w:r>
      <w:r w:rsidR="003F3E8D">
        <w:rPr>
          <w:lang w:val="en-GB" w:eastAsia="ja-JP"/>
        </w:rPr>
        <w:t>s</w:t>
      </w:r>
      <w:r w:rsidR="00CF2FE3">
        <w:rPr>
          <w:lang w:val="en-GB" w:eastAsia="ja-JP"/>
        </w:rPr>
        <w:t xml:space="preserve"> </w:t>
      </w:r>
      <w:r>
        <w:rPr>
          <w:lang w:val="en-GB" w:eastAsia="ja-JP"/>
        </w:rPr>
        <w:t>on this a bit further.</w:t>
      </w:r>
    </w:p>
    <w:p w14:paraId="2CA790C0" w14:textId="77777777" w:rsidR="009B1C03" w:rsidRPr="00770A7A" w:rsidRDefault="009B1C03" w:rsidP="00406463">
      <w:pPr>
        <w:pStyle w:val="BodyText"/>
        <w:rPr>
          <w:lang w:val="en-GB" w:eastAsia="ja-JP"/>
        </w:rPr>
      </w:pPr>
      <w:r w:rsidRPr="00770A7A">
        <w:rPr>
          <w:lang w:val="en-GB" w:eastAsia="ja-JP"/>
        </w:rPr>
        <w:t xml:space="preserve">In Full Duplex systems the interference level during UL reception can differ significantly between </w:t>
      </w:r>
      <w:r>
        <w:rPr>
          <w:lang w:val="en-GB" w:eastAsia="ja-JP"/>
        </w:rPr>
        <w:t>SBFD</w:t>
      </w:r>
      <w:r w:rsidRPr="00770A7A">
        <w:rPr>
          <w:lang w:val="en-GB" w:eastAsia="ja-JP"/>
        </w:rPr>
        <w:t xml:space="preserve"> symbols and non-</w:t>
      </w:r>
      <w:r>
        <w:rPr>
          <w:lang w:val="en-GB" w:eastAsia="ja-JP"/>
        </w:rPr>
        <w:t>SB</w:t>
      </w:r>
      <w:r w:rsidRPr="00770A7A">
        <w:rPr>
          <w:lang w:val="en-GB" w:eastAsia="ja-JP"/>
        </w:rPr>
        <w:t>FD symbols. There are multiple sources of interference. For non-</w:t>
      </w:r>
      <w:r>
        <w:rPr>
          <w:lang w:val="en-GB" w:eastAsia="ja-JP"/>
        </w:rPr>
        <w:t>SBFD</w:t>
      </w:r>
      <w:r w:rsidRPr="00770A7A">
        <w:rPr>
          <w:lang w:val="en-GB" w:eastAsia="ja-JP"/>
        </w:rPr>
        <w:t xml:space="preserve"> symbols interference comes from other UE’s UL transmissions. For </w:t>
      </w:r>
      <w:r>
        <w:rPr>
          <w:lang w:val="en-GB" w:eastAsia="ja-JP"/>
        </w:rPr>
        <w:t>SBFD</w:t>
      </w:r>
      <w:r w:rsidRPr="00770A7A">
        <w:rPr>
          <w:lang w:val="en-GB" w:eastAsia="ja-JP"/>
        </w:rPr>
        <w:t xml:space="preserve"> slots, in addition to the interference from other UE’s UL transmissions, there can be interference from gNB transmissions in DL. This interference can be from the same cell (self-interference), from other cells of the same network in the same site location (inter-sector interference) or from other cells in other locations (inter-site interference). In addition, other network’s cells can also generate interference.</w:t>
      </w:r>
    </w:p>
    <w:p w14:paraId="7FF565D8" w14:textId="148F6DDD" w:rsidR="001B5F65" w:rsidRPr="00FD2F47" w:rsidRDefault="009B1C03" w:rsidP="00FD2F47">
      <w:pPr>
        <w:pStyle w:val="BodyText"/>
        <w:rPr>
          <w:lang w:val="en-GB" w:eastAsia="ja-JP"/>
        </w:rPr>
      </w:pPr>
      <w:r w:rsidRPr="00770A7A">
        <w:rPr>
          <w:lang w:val="en-GB" w:eastAsia="ja-JP"/>
        </w:rPr>
        <w:t xml:space="preserve">In traditional TDD or FDD systems the interference conditions on all symbols are typically similar, thus using the same UL power in all symbols is sufficient in most cases. However, in </w:t>
      </w:r>
      <w:r>
        <w:rPr>
          <w:lang w:val="en-GB" w:eastAsia="ja-JP"/>
        </w:rPr>
        <w:t>SB</w:t>
      </w:r>
      <w:r w:rsidRPr="00770A7A">
        <w:rPr>
          <w:lang w:val="en-GB" w:eastAsia="ja-JP"/>
        </w:rPr>
        <w:t>FD systems as discussed above, interference conditions can vary considerably between symbols.</w:t>
      </w:r>
      <w:r>
        <w:rPr>
          <w:lang w:val="en-GB" w:eastAsia="ja-JP"/>
        </w:rPr>
        <w:t xml:space="preserve"> It is thus worthwhile to study </w:t>
      </w:r>
      <w:proofErr w:type="gramStart"/>
      <w:r>
        <w:rPr>
          <w:lang w:val="en-GB" w:eastAsia="ja-JP"/>
        </w:rPr>
        <w:t>whether or not</w:t>
      </w:r>
      <w:proofErr w:type="gramEnd"/>
      <w:r>
        <w:rPr>
          <w:lang w:val="en-GB" w:eastAsia="ja-JP"/>
        </w:rPr>
        <w:t xml:space="preserve"> there is a </w:t>
      </w:r>
      <w:r w:rsidRPr="00770A7A">
        <w:rPr>
          <w:lang w:val="en-GB" w:eastAsia="ja-JP"/>
        </w:rPr>
        <w:t xml:space="preserve">need for power control </w:t>
      </w:r>
      <w:r>
        <w:rPr>
          <w:lang w:val="en-GB" w:eastAsia="ja-JP"/>
        </w:rPr>
        <w:t xml:space="preserve">enhancements to be able to </w:t>
      </w:r>
      <w:r w:rsidRPr="00770A7A">
        <w:rPr>
          <w:lang w:val="en-GB" w:eastAsia="ja-JP"/>
        </w:rPr>
        <w:t xml:space="preserve">handle highly varying interference levels </w:t>
      </w:r>
      <w:r>
        <w:rPr>
          <w:lang w:val="en-GB" w:eastAsia="ja-JP"/>
        </w:rPr>
        <w:t>between symbols</w:t>
      </w:r>
      <w:r w:rsidRPr="00770A7A">
        <w:rPr>
          <w:lang w:val="en-GB" w:eastAsia="ja-JP"/>
        </w:rPr>
        <w:t>.</w:t>
      </w:r>
      <w:r>
        <w:rPr>
          <w:lang w:val="en-GB" w:eastAsia="ja-JP"/>
        </w:rPr>
        <w:t xml:space="preserve"> One important observation is that the gNB has knowledge of when the additional interference that occurs in SBFD symbols will occur for scheduled/configured UL transmissions.</w:t>
      </w:r>
    </w:p>
    <w:p w14:paraId="56455E06" w14:textId="356AB0F8" w:rsidR="001B5F65" w:rsidRPr="004634D8" w:rsidRDefault="00BE6108" w:rsidP="004634D8">
      <w:pPr>
        <w:pStyle w:val="Observation"/>
        <w:rPr>
          <w:lang w:val="en-GB"/>
        </w:rPr>
      </w:pPr>
      <w:bookmarkStart w:id="120" w:name="_Toc159244003"/>
      <w:r w:rsidRPr="004634D8">
        <w:rPr>
          <w:lang w:val="en-GB"/>
        </w:rPr>
        <w:t xml:space="preserve">The gNB has knowledge of when the additional interference may occur in SBFD symbols for scheduled/configured UL </w:t>
      </w:r>
      <w:r w:rsidR="000C49AE" w:rsidRPr="000C49AE">
        <w:rPr>
          <w:lang w:val="en-GB"/>
        </w:rPr>
        <w:t>transmissions and</w:t>
      </w:r>
      <w:r w:rsidRPr="004634D8">
        <w:rPr>
          <w:lang w:val="en-GB"/>
        </w:rPr>
        <w:t xml:space="preserve"> can thus account for the additional interference in the power control configuration and/or TPC commands that it signals to the UE.</w:t>
      </w:r>
      <w:bookmarkEnd w:id="120"/>
      <w:r w:rsidRPr="004634D8">
        <w:rPr>
          <w:lang w:val="en-GB"/>
        </w:rPr>
        <w:t xml:space="preserve"> </w:t>
      </w:r>
    </w:p>
    <w:p w14:paraId="4516EB2E" w14:textId="77777777" w:rsidR="00BE6108" w:rsidRPr="004634D8" w:rsidRDefault="00BE6108" w:rsidP="00BE6108">
      <w:pPr>
        <w:rPr>
          <w:color w:val="000000" w:themeColor="text1"/>
          <w:lang w:val="en-GB"/>
        </w:rPr>
      </w:pPr>
    </w:p>
    <w:p w14:paraId="59EB11DA" w14:textId="10E7D349" w:rsidR="00DC4FC0" w:rsidRPr="00DC4FC0" w:rsidRDefault="008536CA" w:rsidP="00DC4FC0">
      <w:pPr>
        <w:pStyle w:val="Heading2"/>
      </w:pPr>
      <w:r>
        <w:t>3.7</w:t>
      </w:r>
      <w:r w:rsidR="00DC4FC0">
        <w:tab/>
        <w:t xml:space="preserve"> SRS</w:t>
      </w:r>
    </w:p>
    <w:tbl>
      <w:tblPr>
        <w:tblStyle w:val="TableGrid"/>
        <w:tblW w:w="0" w:type="auto"/>
        <w:tblLook w:val="04A0" w:firstRow="1" w:lastRow="0" w:firstColumn="1" w:lastColumn="0" w:noHBand="0" w:noVBand="1"/>
      </w:tblPr>
      <w:tblGrid>
        <w:gridCol w:w="9629"/>
      </w:tblGrid>
      <w:tr w:rsidR="004D4B74" w14:paraId="32A69E78" w14:textId="77777777" w:rsidTr="004D4B74">
        <w:tc>
          <w:tcPr>
            <w:tcW w:w="9629" w:type="dxa"/>
          </w:tcPr>
          <w:p w14:paraId="6423799A" w14:textId="7FFB7BFE" w:rsidR="004D4B74" w:rsidRDefault="004D4B74" w:rsidP="004D4B74">
            <w:pPr>
              <w:rPr>
                <w:sz w:val="20"/>
                <w:lang w:val="en-GB" w:eastAsia="ja-JP"/>
              </w:rPr>
            </w:pPr>
            <w:r>
              <w:rPr>
                <w:lang w:val="en-GB" w:eastAsia="ja-JP"/>
              </w:rPr>
              <w:t>From TR38.858:</w:t>
            </w:r>
          </w:p>
          <w:p w14:paraId="5ADB85BE" w14:textId="4349EF06" w:rsidR="004D4B74" w:rsidRPr="004634D8" w:rsidRDefault="004D4B74" w:rsidP="008546A2">
            <w:pPr>
              <w:rPr>
                <w:rFonts w:ascii="Times New Roman" w:hAnsi="Times New Roman" w:cs="Times New Roman"/>
                <w:sz w:val="20"/>
                <w:lang w:val="en-GB" w:eastAsia="ja-JP"/>
              </w:rPr>
            </w:pPr>
            <w:r w:rsidRPr="004634D8">
              <w:rPr>
                <w:rFonts w:ascii="Times New Roman" w:hAnsi="Times New Roman" w:cs="Times New Roman"/>
                <w:lang w:val="en-GB" w:eastAsia="ja-JP"/>
              </w:rPr>
              <w:t>For SRS, PUCCH and PUSCH on SBFD symbols and non-SBFD symbols in different slots, it may be beneficial to have separate resources, FH parameters, UL power control parameters and/or beam/spatial relation.</w:t>
            </w:r>
          </w:p>
        </w:tc>
      </w:tr>
    </w:tbl>
    <w:p w14:paraId="2E9B4C50" w14:textId="77777777" w:rsidR="006D31CF" w:rsidRDefault="006D31CF" w:rsidP="008546A2">
      <w:pPr>
        <w:rPr>
          <w:lang w:val="en-GB" w:eastAsia="ja-JP"/>
        </w:rPr>
      </w:pPr>
    </w:p>
    <w:p w14:paraId="2885C608" w14:textId="7A473EBF" w:rsidR="00877A6A" w:rsidRDefault="00877A6A" w:rsidP="004634D8">
      <w:pPr>
        <w:jc w:val="both"/>
        <w:rPr>
          <w:lang w:val="en-GB" w:eastAsia="ja-JP"/>
        </w:rPr>
      </w:pPr>
      <w:r>
        <w:rPr>
          <w:lang w:val="en-GB" w:eastAsia="ja-JP"/>
        </w:rPr>
        <w:t xml:space="preserve">We believe that </w:t>
      </w:r>
      <w:r w:rsidR="00854483">
        <w:rPr>
          <w:lang w:val="en-GB" w:eastAsia="ja-JP"/>
        </w:rPr>
        <w:t xml:space="preserve">it is straightforward to configure different </w:t>
      </w:r>
      <w:r w:rsidR="00405801">
        <w:rPr>
          <w:lang w:val="en-GB" w:eastAsia="ja-JP"/>
        </w:rPr>
        <w:t xml:space="preserve">SRS </w:t>
      </w:r>
      <w:r w:rsidR="00854483">
        <w:rPr>
          <w:lang w:val="en-GB" w:eastAsia="ja-JP"/>
        </w:rPr>
        <w:t>resource</w:t>
      </w:r>
      <w:r w:rsidR="00405801">
        <w:rPr>
          <w:lang w:val="en-GB" w:eastAsia="ja-JP"/>
        </w:rPr>
        <w:t xml:space="preserve"> sets</w:t>
      </w:r>
      <w:r w:rsidR="006279E7">
        <w:rPr>
          <w:lang w:val="en-GB" w:eastAsia="ja-JP"/>
        </w:rPr>
        <w:t xml:space="preserve"> for SBFD symbols and non-SBFD symbols</w:t>
      </w:r>
      <w:r w:rsidR="00656033">
        <w:rPr>
          <w:lang w:val="en-GB" w:eastAsia="ja-JP"/>
        </w:rPr>
        <w:t>, which has no/minor specification impact.</w:t>
      </w:r>
      <w:r w:rsidR="005A1796">
        <w:rPr>
          <w:lang w:val="en-GB" w:eastAsia="ja-JP"/>
        </w:rPr>
        <w:t xml:space="preserve"> Further, if the resource is either in SBFD symbol only or non-SBFD symbol only, then </w:t>
      </w:r>
      <w:r w:rsidR="003C6B65">
        <w:rPr>
          <w:lang w:val="en-GB" w:eastAsia="ja-JP"/>
        </w:rPr>
        <w:t xml:space="preserve">frequency hopping can </w:t>
      </w:r>
      <w:r w:rsidR="00904F9A">
        <w:rPr>
          <w:lang w:val="en-GB" w:eastAsia="ja-JP"/>
        </w:rPr>
        <w:t xml:space="preserve">also </w:t>
      </w:r>
      <w:r w:rsidR="003C6B65">
        <w:rPr>
          <w:lang w:val="en-GB" w:eastAsia="ja-JP"/>
        </w:rPr>
        <w:t xml:space="preserve">be supported </w:t>
      </w:r>
      <w:r w:rsidR="00AD73B8">
        <w:rPr>
          <w:lang w:val="en-GB" w:eastAsia="ja-JP"/>
        </w:rPr>
        <w:t xml:space="preserve">as the gNB </w:t>
      </w:r>
      <w:r w:rsidR="00410B46">
        <w:rPr>
          <w:lang w:val="en-GB" w:eastAsia="ja-JP"/>
        </w:rPr>
        <w:t xml:space="preserve">can configure </w:t>
      </w:r>
      <w:r w:rsidR="00904F9A">
        <w:rPr>
          <w:lang w:val="en-GB" w:eastAsia="ja-JP"/>
        </w:rPr>
        <w:t>(</w:t>
      </w:r>
      <w:r w:rsidR="00904F9A">
        <w:t>e.g., the periodicity in synchronous with the existing TDD patterns</w:t>
      </w:r>
      <w:r w:rsidR="00904F9A">
        <w:rPr>
          <w:lang w:val="en-GB" w:eastAsia="ja-JP"/>
        </w:rPr>
        <w:t xml:space="preserve">) </w:t>
      </w:r>
      <w:r w:rsidR="00410B46">
        <w:rPr>
          <w:lang w:val="en-GB" w:eastAsia="ja-JP"/>
        </w:rPr>
        <w:t xml:space="preserve">such that one hop </w:t>
      </w:r>
      <w:r w:rsidR="00CF1966">
        <w:rPr>
          <w:lang w:val="en-GB" w:eastAsia="ja-JP"/>
        </w:rPr>
        <w:t xml:space="preserve">can occur in an UL-only symbols while the other hop can occur only in an SBFD symbol. </w:t>
      </w:r>
      <w:r w:rsidR="009E195D">
        <w:rPr>
          <w:lang w:val="en-GB" w:eastAsia="ja-JP"/>
        </w:rPr>
        <w:t xml:space="preserve">This can be </w:t>
      </w:r>
      <w:proofErr w:type="spellStart"/>
      <w:r w:rsidR="009E195D">
        <w:rPr>
          <w:lang w:val="en-GB" w:eastAsia="ja-JP"/>
        </w:rPr>
        <w:t>supportedwith</w:t>
      </w:r>
      <w:proofErr w:type="spellEnd"/>
      <w:r w:rsidR="009E195D">
        <w:rPr>
          <w:lang w:val="en-GB" w:eastAsia="ja-JP"/>
        </w:rPr>
        <w:t xml:space="preserve"> the existing</w:t>
      </w:r>
      <w:r w:rsidR="003C6B65">
        <w:rPr>
          <w:lang w:val="en-GB" w:eastAsia="ja-JP"/>
        </w:rPr>
        <w:t xml:space="preserve"> specification</w:t>
      </w:r>
      <w:r w:rsidR="009E195D">
        <w:rPr>
          <w:lang w:val="en-GB" w:eastAsia="ja-JP"/>
        </w:rPr>
        <w:t>s</w:t>
      </w:r>
      <w:r w:rsidR="003C6B65">
        <w:rPr>
          <w:lang w:val="en-GB" w:eastAsia="ja-JP"/>
        </w:rPr>
        <w:t>.</w:t>
      </w:r>
      <w:r w:rsidR="001F419D">
        <w:rPr>
          <w:lang w:val="en-GB" w:eastAsia="ja-JP"/>
        </w:rPr>
        <w:t xml:space="preserve"> </w:t>
      </w:r>
      <w:r w:rsidR="008F5CEC">
        <w:rPr>
          <w:lang w:val="en-GB" w:eastAsia="ja-JP"/>
        </w:rPr>
        <w:t xml:space="preserve">Altogether, we do not foresee any significant enhancements </w:t>
      </w:r>
      <w:r w:rsidR="00AC567A">
        <w:rPr>
          <w:lang w:val="en-GB" w:eastAsia="ja-JP"/>
        </w:rPr>
        <w:t>needed</w:t>
      </w:r>
      <w:r w:rsidR="008F5CEC">
        <w:rPr>
          <w:lang w:val="en-GB" w:eastAsia="ja-JP"/>
        </w:rPr>
        <w:t xml:space="preserve"> for SRS </w:t>
      </w:r>
      <w:r w:rsidR="00AC567A">
        <w:rPr>
          <w:lang w:val="en-GB" w:eastAsia="ja-JP"/>
        </w:rPr>
        <w:t>t</w:t>
      </w:r>
      <w:r w:rsidR="008F5CEC">
        <w:rPr>
          <w:lang w:val="en-GB" w:eastAsia="ja-JP"/>
        </w:rPr>
        <w:t xml:space="preserve">ransmission </w:t>
      </w:r>
      <w:r w:rsidR="00DC7E25">
        <w:rPr>
          <w:lang w:val="en-GB" w:eastAsia="ja-JP"/>
        </w:rPr>
        <w:t>in the context of SBFD</w:t>
      </w:r>
      <w:r w:rsidR="00AE3412">
        <w:rPr>
          <w:lang w:val="en-GB" w:eastAsia="ja-JP"/>
        </w:rPr>
        <w:t xml:space="preserve"> operation</w:t>
      </w:r>
      <w:r w:rsidR="004872F7">
        <w:rPr>
          <w:lang w:val="en-GB" w:eastAsia="ja-JP"/>
        </w:rPr>
        <w:t>.</w:t>
      </w:r>
    </w:p>
    <w:p w14:paraId="310867D5" w14:textId="4C956B22" w:rsidR="008546A2" w:rsidRDefault="008546A2" w:rsidP="004634D8">
      <w:pPr>
        <w:pStyle w:val="Proposal"/>
        <w:rPr>
          <w:lang w:val="en-GB"/>
        </w:rPr>
      </w:pPr>
      <w:bookmarkStart w:id="121" w:name="_Toc159244030"/>
      <w:r>
        <w:rPr>
          <w:lang w:val="en-GB"/>
        </w:rPr>
        <w:t xml:space="preserve">Separate resource configuration for </w:t>
      </w:r>
      <w:r w:rsidR="008B0B2A">
        <w:rPr>
          <w:lang w:val="en-GB"/>
        </w:rPr>
        <w:t xml:space="preserve">SRS transmission in </w:t>
      </w:r>
      <w:r>
        <w:rPr>
          <w:lang w:val="en-GB"/>
        </w:rPr>
        <w:t xml:space="preserve">SBFD and non-SBFD slots </w:t>
      </w:r>
      <w:r w:rsidR="008B0B2A">
        <w:rPr>
          <w:lang w:val="en-GB"/>
        </w:rPr>
        <w:t xml:space="preserve">is supported </w:t>
      </w:r>
      <w:r>
        <w:rPr>
          <w:lang w:val="en-GB"/>
        </w:rPr>
        <w:t xml:space="preserve">with the </w:t>
      </w:r>
      <w:r w:rsidR="008B0B2A">
        <w:rPr>
          <w:lang w:val="en-GB"/>
        </w:rPr>
        <w:t>no/minor specification impact</w:t>
      </w:r>
      <w:r>
        <w:rPr>
          <w:lang w:val="en-GB"/>
        </w:rPr>
        <w:t>.</w:t>
      </w:r>
      <w:bookmarkEnd w:id="121"/>
    </w:p>
    <w:p w14:paraId="33FA49E8" w14:textId="1D2E00FE" w:rsidR="008546A2" w:rsidRDefault="00195E6F" w:rsidP="004634D8">
      <w:pPr>
        <w:pStyle w:val="Proposal"/>
        <w:rPr>
          <w:lang w:val="en-GB" w:eastAsia="ja-JP"/>
        </w:rPr>
      </w:pPr>
      <w:bookmarkStart w:id="122" w:name="_Toc159244031"/>
      <w:r>
        <w:rPr>
          <w:lang w:val="en-GB" w:eastAsia="ja-JP"/>
        </w:rPr>
        <w:t>If the</w:t>
      </w:r>
      <w:r w:rsidR="00092EF8">
        <w:rPr>
          <w:lang w:val="en-GB"/>
        </w:rPr>
        <w:t xml:space="preserve"> SRS</w:t>
      </w:r>
      <w:r>
        <w:rPr>
          <w:lang w:val="en-GB" w:eastAsia="ja-JP"/>
        </w:rPr>
        <w:t xml:space="preserve"> resource is </w:t>
      </w:r>
      <w:r w:rsidR="00822785">
        <w:rPr>
          <w:lang w:val="en-GB" w:eastAsia="ja-JP"/>
        </w:rPr>
        <w:t>either in SBFD only or non-SBFD only, then no specification changes needed to facilitate frequency hopping</w:t>
      </w:r>
      <w:r w:rsidR="003666FB">
        <w:rPr>
          <w:lang w:val="en-GB" w:eastAsia="ja-JP"/>
        </w:rPr>
        <w:t>.</w:t>
      </w:r>
      <w:bookmarkEnd w:id="122"/>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E57C54" w14:textId="607B072D" w:rsidR="00D32653" w:rsidRDefault="006F65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59243981" w:history="1">
        <w:r w:rsidR="00D32653" w:rsidRPr="008026E2">
          <w:rPr>
            <w:rStyle w:val="Hyperlink"/>
            <w:noProof/>
          </w:rPr>
          <w:t>Observation 1</w:t>
        </w:r>
        <w:r w:rsidR="00D32653">
          <w:rPr>
            <w:rFonts w:asciiTheme="minorHAnsi" w:eastAsiaTheme="minorEastAsia" w:hAnsiTheme="minorHAnsi"/>
            <w:b w:val="0"/>
            <w:noProof/>
            <w:kern w:val="2"/>
            <w:sz w:val="22"/>
            <w:lang w:val="en-SE" w:eastAsia="ja-JP"/>
            <w14:ligatures w14:val="standardContextual"/>
          </w:rPr>
          <w:tab/>
        </w:r>
        <w:r w:rsidR="00D32653" w:rsidRPr="008026E2">
          <w:rPr>
            <w:rStyle w:val="Hyperlink"/>
            <w:noProof/>
            <w:lang w:val="en-GB"/>
          </w:rPr>
          <w:t xml:space="preserve">A legacy UE considers symbols configured for SBFD operation as DL-only or flexible, thus </w:t>
        </w:r>
        <w:r w:rsidR="00D32653" w:rsidRPr="008026E2">
          <w:rPr>
            <w:rStyle w:val="Hyperlink"/>
            <w:noProof/>
          </w:rPr>
          <w:t>signals/channels not supporting discontinuous frequency allocations need to be scheduled/configured in only one of the DL subbands.</w:t>
        </w:r>
      </w:hyperlink>
    </w:p>
    <w:p w14:paraId="53DF9634" w14:textId="2A8AF753"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2" w:history="1">
        <w:r w:rsidRPr="008026E2">
          <w:rPr>
            <w:rStyle w:val="Hyperlink"/>
            <w:noProof/>
          </w:rPr>
          <w:t>Observation 2</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rPr>
          <w:t xml:space="preserve">For both legacy and SBFD-aware UEs in IDLE mode, DL reception (i.e., during initial access) in SBFD slots/symbols (configured as D-U-D) occurs only in one of the DL subbands. Assuming a certain minimum channel bandwidth with a symmetric D-U-D configuration in either FR1 or FR2, it is feasible to </w:t>
        </w:r>
        <w:r w:rsidRPr="008026E2">
          <w:rPr>
            <w:rStyle w:val="Hyperlink"/>
            <w:noProof/>
          </w:rPr>
          <w:t>configure</w:t>
        </w:r>
        <w:r w:rsidRPr="008026E2">
          <w:rPr>
            <w:rStyle w:val="Hyperlink"/>
            <w:noProof/>
            <w:lang w:val="en-GB"/>
          </w:rPr>
          <w:t xml:space="preserve"> slots/symbols for SBFD operation such that CORESET0 is comprised within a single DL subband. For 48 RB CORESET0, 40/100/400 MHz channel bandwidth is required for 15/30/120 kHz SCS.</w:t>
        </w:r>
      </w:hyperlink>
    </w:p>
    <w:p w14:paraId="4392341D" w14:textId="777991F3"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3" w:history="1">
        <w:r w:rsidRPr="008026E2">
          <w:rPr>
            <w:rStyle w:val="Hyperlink"/>
            <w:noProof/>
          </w:rPr>
          <w:t>Observation 3</w:t>
        </w:r>
        <w:r>
          <w:rPr>
            <w:rFonts w:asciiTheme="minorHAnsi" w:eastAsiaTheme="minorEastAsia" w:hAnsiTheme="minorHAnsi"/>
            <w:b w:val="0"/>
            <w:noProof/>
            <w:kern w:val="2"/>
            <w:sz w:val="22"/>
            <w:lang w:val="en-SE" w:eastAsia="ja-JP"/>
            <w14:ligatures w14:val="standardContextual"/>
          </w:rPr>
          <w:tab/>
        </w:r>
        <w:r w:rsidRPr="008026E2">
          <w:rPr>
            <w:rStyle w:val="Hyperlink"/>
            <w:noProof/>
          </w:rPr>
          <w:t>Specification work may be simplified by explicitly specifying DL subbands instead of guard bands for semi-static frequency domain configurations.</w:t>
        </w:r>
      </w:hyperlink>
    </w:p>
    <w:p w14:paraId="5AE6139A" w14:textId="0E57668E"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4" w:history="1">
        <w:r w:rsidRPr="008026E2">
          <w:rPr>
            <w:rStyle w:val="Hyperlink"/>
            <w:noProof/>
            <w:lang w:val="en-GB"/>
          </w:rPr>
          <w:t>Observation 4</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rPr>
          <w:t>The guard period between DL symbol and SBFD symbol must account for delayed DL symbols from potentially distant gNB.</w:t>
        </w:r>
      </w:hyperlink>
    </w:p>
    <w:p w14:paraId="478AD755" w14:textId="66EF4174"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5" w:history="1">
        <w:r w:rsidRPr="008026E2">
          <w:rPr>
            <w:rStyle w:val="Hyperlink"/>
            <w:noProof/>
            <w:lang w:val="en-GB"/>
          </w:rPr>
          <w:t>Observation 5</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rPr>
          <w:t>Additional specification for guard periods before or after the UL subband is not needed but can be handled by scheduling.</w:t>
        </w:r>
      </w:hyperlink>
    </w:p>
    <w:p w14:paraId="3473B04C" w14:textId="68DD634A"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6" w:history="1">
        <w:r w:rsidRPr="008026E2">
          <w:rPr>
            <w:rStyle w:val="Hyperlink"/>
            <w:noProof/>
            <w:lang w:val="en-GB"/>
          </w:rPr>
          <w:t>Observation 6</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eastAsia="ja-JP"/>
          </w:rPr>
          <w:t>Legacy timing already includes the possibility to set N</w:t>
        </w:r>
        <w:r w:rsidRPr="008026E2">
          <w:rPr>
            <w:rStyle w:val="Hyperlink"/>
            <w:noProof/>
            <w:vertAlign w:val="subscript"/>
            <w:lang w:val="en-GB" w:eastAsia="ja-JP"/>
          </w:rPr>
          <w:t>TA,offset</w:t>
        </w:r>
        <w:r w:rsidRPr="008026E2">
          <w:rPr>
            <w:rStyle w:val="Hyperlink"/>
            <w:noProof/>
            <w:lang w:val="en-GB" w:eastAsia="ja-JP"/>
          </w:rPr>
          <w:t xml:space="preserve"> = 0 such that DL and UL timing are aligned at the gNB.</w:t>
        </w:r>
      </w:hyperlink>
    </w:p>
    <w:p w14:paraId="553F13F9" w14:textId="27F6B844"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7" w:history="1">
        <w:r w:rsidRPr="008026E2">
          <w:rPr>
            <w:rStyle w:val="Hyperlink"/>
            <w:noProof/>
          </w:rPr>
          <w:t>Observation 7</w:t>
        </w:r>
        <w:r>
          <w:rPr>
            <w:rFonts w:asciiTheme="minorHAnsi" w:eastAsiaTheme="minorEastAsia" w:hAnsiTheme="minorHAnsi"/>
            <w:b w:val="0"/>
            <w:noProof/>
            <w:kern w:val="2"/>
            <w:sz w:val="22"/>
            <w:lang w:val="en-SE" w:eastAsia="ja-JP"/>
            <w14:ligatures w14:val="standardContextual"/>
          </w:rPr>
          <w:tab/>
        </w:r>
        <w:r w:rsidRPr="008026E2">
          <w:rPr>
            <w:rStyle w:val="Hyperlink"/>
            <w:noProof/>
          </w:rPr>
          <w:t>The WID clearly specifies that Option 1 in the TR, supporting semi-static SBFD in DL symbols, is to be specified.</w:t>
        </w:r>
      </w:hyperlink>
    </w:p>
    <w:p w14:paraId="6FEE126B" w14:textId="290708A6"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8" w:history="1">
        <w:r w:rsidRPr="008026E2">
          <w:rPr>
            <w:rStyle w:val="Hyperlink"/>
            <w:noProof/>
          </w:rPr>
          <w:t>Observation 8</w:t>
        </w:r>
        <w:r>
          <w:rPr>
            <w:rFonts w:asciiTheme="minorHAnsi" w:eastAsiaTheme="minorEastAsia" w:hAnsiTheme="minorHAnsi"/>
            <w:b w:val="0"/>
            <w:noProof/>
            <w:kern w:val="2"/>
            <w:sz w:val="22"/>
            <w:lang w:val="en-SE" w:eastAsia="ja-JP"/>
            <w14:ligatures w14:val="standardContextual"/>
          </w:rPr>
          <w:tab/>
        </w:r>
        <w:r w:rsidRPr="008026E2">
          <w:rPr>
            <w:rStyle w:val="Hyperlink"/>
            <w:noProof/>
          </w:rPr>
          <w:t>There is no directional ambiguity to be resolved by DCI format 2_0 in SBFD symbols.</w:t>
        </w:r>
      </w:hyperlink>
    </w:p>
    <w:p w14:paraId="1B458058" w14:textId="6E9430D9"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89" w:history="1">
        <w:r w:rsidRPr="008026E2">
          <w:rPr>
            <w:rStyle w:val="Hyperlink"/>
            <w:noProof/>
            <w:lang w:eastAsia="ja-JP"/>
          </w:rPr>
          <w:t>Observation 9</w:t>
        </w:r>
        <w:r>
          <w:rPr>
            <w:rFonts w:asciiTheme="minorHAnsi" w:eastAsiaTheme="minorEastAsia" w:hAnsiTheme="minorHAnsi"/>
            <w:b w:val="0"/>
            <w:noProof/>
            <w:kern w:val="2"/>
            <w:sz w:val="22"/>
            <w:lang w:val="en-SE" w:eastAsia="ja-JP"/>
            <w14:ligatures w14:val="standardContextual"/>
          </w:rPr>
          <w:tab/>
        </w:r>
        <w:r w:rsidRPr="008026E2">
          <w:rPr>
            <w:rStyle w:val="Hyperlink"/>
            <w:noProof/>
          </w:rPr>
          <w:t>Current specifications already specify that scheduled transmissions have priority over configured transmissions which is also a reasonable prioritization for SBFD symbols.</w:t>
        </w:r>
      </w:hyperlink>
    </w:p>
    <w:p w14:paraId="545971FB" w14:textId="4278F61F"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0" w:history="1">
        <w:r w:rsidRPr="008026E2">
          <w:rPr>
            <w:rStyle w:val="Hyperlink"/>
            <w:noProof/>
          </w:rPr>
          <w:t>Observation 10</w:t>
        </w:r>
        <w:r>
          <w:rPr>
            <w:rFonts w:asciiTheme="minorHAnsi" w:eastAsiaTheme="minorEastAsia" w:hAnsiTheme="minorHAnsi"/>
            <w:b w:val="0"/>
            <w:noProof/>
            <w:kern w:val="2"/>
            <w:sz w:val="22"/>
            <w:lang w:val="en-SE" w:eastAsia="ja-JP"/>
            <w14:ligatures w14:val="standardContextual"/>
          </w:rPr>
          <w:tab/>
        </w:r>
        <w:r w:rsidRPr="008026E2">
          <w:rPr>
            <w:rStyle w:val="Hyperlink"/>
            <w:noProof/>
          </w:rPr>
          <w:t>Use prioritization rules for half-duplex UEs in paired spectrum (HD-UE) as a starting point for prioritization rules between DL reception and UL transmission for SBFD capable UEs.</w:t>
        </w:r>
      </w:hyperlink>
    </w:p>
    <w:p w14:paraId="06768500" w14:textId="13610EA9"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1" w:history="1">
        <w:r w:rsidRPr="008026E2">
          <w:rPr>
            <w:rStyle w:val="Hyperlink"/>
            <w:noProof/>
          </w:rPr>
          <w:t>Observation 11</w:t>
        </w:r>
        <w:r>
          <w:rPr>
            <w:rFonts w:asciiTheme="minorHAnsi" w:eastAsiaTheme="minorEastAsia" w:hAnsiTheme="minorHAnsi"/>
            <w:b w:val="0"/>
            <w:noProof/>
            <w:kern w:val="2"/>
            <w:sz w:val="22"/>
            <w:lang w:val="en-SE" w:eastAsia="ja-JP"/>
            <w14:ligatures w14:val="standardContextual"/>
          </w:rPr>
          <w:tab/>
        </w:r>
        <w:r w:rsidRPr="008026E2">
          <w:rPr>
            <w:rStyle w:val="Hyperlink"/>
            <w:noProof/>
          </w:rPr>
          <w:t>For multi-PDSCH/PUSCH scheduling, it is already possible with the current specifications to restrict multiple PDSCHs/PUSCHs scheduled by a single DCI to either SBFD or non-SBFD slots by selecting proper K0/K2 values.</w:t>
        </w:r>
      </w:hyperlink>
    </w:p>
    <w:p w14:paraId="0BD90A2C" w14:textId="7038287B"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2" w:history="1">
        <w:r w:rsidRPr="008026E2">
          <w:rPr>
            <w:rStyle w:val="Hyperlink"/>
            <w:noProof/>
          </w:rPr>
          <w:t>Observation 12</w:t>
        </w:r>
        <w:r>
          <w:rPr>
            <w:rFonts w:asciiTheme="minorHAnsi" w:eastAsiaTheme="minorEastAsia" w:hAnsiTheme="minorHAnsi"/>
            <w:b w:val="0"/>
            <w:noProof/>
            <w:kern w:val="2"/>
            <w:sz w:val="22"/>
            <w:lang w:val="en-SE" w:eastAsia="ja-JP"/>
            <w14:ligatures w14:val="standardContextual"/>
          </w:rPr>
          <w:tab/>
        </w:r>
        <w:r w:rsidRPr="008026E2">
          <w:rPr>
            <w:rStyle w:val="Hyperlink"/>
            <w:noProof/>
          </w:rPr>
          <w:t>For periodic transmission of CSI-RS, SRS and PUCCH, restricting transmissions to either SBFD or non-SBFD slots can be achieved by configuring the periodicity synchronous with the existing TDD patterns.</w:t>
        </w:r>
      </w:hyperlink>
    </w:p>
    <w:p w14:paraId="2068042A" w14:textId="052F0699"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3" w:history="1">
        <w:r w:rsidRPr="008026E2">
          <w:rPr>
            <w:rStyle w:val="Hyperlink"/>
            <w:noProof/>
          </w:rPr>
          <w:t>Observation 13</w:t>
        </w:r>
        <w:r>
          <w:rPr>
            <w:rFonts w:asciiTheme="minorHAnsi" w:eastAsiaTheme="minorEastAsia" w:hAnsiTheme="minorHAnsi"/>
            <w:b w:val="0"/>
            <w:noProof/>
            <w:kern w:val="2"/>
            <w:sz w:val="22"/>
            <w:lang w:val="en-SE" w:eastAsia="ja-JP"/>
            <w14:ligatures w14:val="standardContextual"/>
          </w:rPr>
          <w:tab/>
        </w:r>
        <w:r w:rsidRPr="008026E2">
          <w:rPr>
            <w:rStyle w:val="Hyperlink"/>
            <w:noProof/>
          </w:rPr>
          <w:t>Restricting multi-slot transmissions to either in SBFD slot or non-SBFD slot (i.e., Option 1 can be supported with least specification impact.</w:t>
        </w:r>
      </w:hyperlink>
    </w:p>
    <w:p w14:paraId="5174925A" w14:textId="050C5AF1"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4" w:history="1">
        <w:r w:rsidRPr="008026E2">
          <w:rPr>
            <w:rStyle w:val="Hyperlink"/>
            <w:noProof/>
          </w:rPr>
          <w:t>Observation 14</w:t>
        </w:r>
        <w:r>
          <w:rPr>
            <w:rFonts w:asciiTheme="minorHAnsi" w:eastAsiaTheme="minorEastAsia" w:hAnsiTheme="minorHAnsi"/>
            <w:b w:val="0"/>
            <w:noProof/>
            <w:kern w:val="2"/>
            <w:sz w:val="22"/>
            <w:lang w:val="en-SE" w:eastAsia="ja-JP"/>
            <w14:ligatures w14:val="standardContextual"/>
          </w:rPr>
          <w:tab/>
        </w:r>
        <w:r w:rsidRPr="008026E2">
          <w:rPr>
            <w:rStyle w:val="Hyperlink"/>
            <w:noProof/>
          </w:rPr>
          <w:t>Restricting multi-slot transmissions to either in SBFD slot or non-SBFD slot can simplify link adaptation and power control (for PUSCH and PUCCH).</w:t>
        </w:r>
      </w:hyperlink>
    </w:p>
    <w:p w14:paraId="001F7166" w14:textId="780B1D28"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5" w:history="1">
        <w:r w:rsidRPr="008026E2">
          <w:rPr>
            <w:rStyle w:val="Hyperlink"/>
            <w:noProof/>
          </w:rPr>
          <w:t>Observation 15</w:t>
        </w:r>
        <w:r>
          <w:rPr>
            <w:rFonts w:asciiTheme="minorHAnsi" w:eastAsiaTheme="minorEastAsia" w:hAnsiTheme="minorHAnsi"/>
            <w:b w:val="0"/>
            <w:noProof/>
            <w:kern w:val="2"/>
            <w:sz w:val="22"/>
            <w:lang w:val="en-SE" w:eastAsia="ja-JP"/>
            <w14:ligatures w14:val="standardContextual"/>
          </w:rPr>
          <w:tab/>
        </w:r>
        <w:r w:rsidRPr="008026E2">
          <w:rPr>
            <w:rStyle w:val="Hyperlink"/>
            <w:noProof/>
          </w:rPr>
          <w:t>Allowing multi-slot transmission across SBFD and non-SBFD slots requires specification updates to specify different resource allocation for different type of slots or clarify UE behaviors when DL/UL channel/signal overlap with RBs outside DL/UL subbands in a SBFD slot.</w:t>
        </w:r>
      </w:hyperlink>
    </w:p>
    <w:p w14:paraId="514DFC58" w14:textId="5AF18886"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6" w:history="1">
        <w:r w:rsidRPr="008026E2">
          <w:rPr>
            <w:rStyle w:val="Hyperlink"/>
            <w:noProof/>
          </w:rPr>
          <w:t>Observation 16</w:t>
        </w:r>
        <w:r>
          <w:rPr>
            <w:rFonts w:asciiTheme="minorHAnsi" w:eastAsiaTheme="minorEastAsia" w:hAnsiTheme="minorHAnsi"/>
            <w:b w:val="0"/>
            <w:noProof/>
            <w:kern w:val="2"/>
            <w:sz w:val="22"/>
            <w:lang w:val="en-SE" w:eastAsia="ja-JP"/>
            <w14:ligatures w14:val="standardContextual"/>
          </w:rPr>
          <w:tab/>
        </w:r>
        <w:r w:rsidRPr="008026E2">
          <w:rPr>
            <w:rStyle w:val="Hyperlink"/>
            <w:noProof/>
          </w:rPr>
          <w:t>Allowing PUSCH/PUCCH repetition across SBFD and non-SBFD slots requires specification updates to specify different frequency hopping parameters for different type of slots.</w:t>
        </w:r>
      </w:hyperlink>
    </w:p>
    <w:p w14:paraId="37D68ED7" w14:textId="0EB86CFA"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7" w:history="1">
        <w:r w:rsidRPr="008026E2">
          <w:rPr>
            <w:rStyle w:val="Hyperlink"/>
            <w:noProof/>
            <w:lang w:val="en-GB"/>
          </w:rPr>
          <w:t>Observation 17</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rPr>
          <w:t xml:space="preserve">CORESET </w:t>
        </w:r>
        <w:r w:rsidRPr="008026E2">
          <w:rPr>
            <w:rStyle w:val="Hyperlink"/>
            <w:i/>
            <w:iCs/>
            <w:noProof/>
            <w:lang w:val="en-GB"/>
          </w:rPr>
          <w:t>i</w:t>
        </w:r>
        <w:r w:rsidRPr="008026E2">
          <w:rPr>
            <w:rStyle w:val="Hyperlink"/>
            <w:noProof/>
            <w:lang w:val="en-GB"/>
          </w:rPr>
          <w:t xml:space="preserve">, </w:t>
        </w:r>
        <w:r w:rsidRPr="008026E2">
          <w:rPr>
            <w:rStyle w:val="Hyperlink"/>
            <w:i/>
            <w:iCs/>
            <w:noProof/>
            <w:lang w:val="en-GB"/>
          </w:rPr>
          <w:t>i</w:t>
        </w:r>
        <w:r w:rsidRPr="008026E2">
          <w:rPr>
            <w:rStyle w:val="Hyperlink"/>
            <w:noProof/>
            <w:lang w:val="en-GB"/>
          </w:rPr>
          <w:t>&gt;0, is configured in a bitmap with a granularity of 6 RBs, allowing intermittent configuration around an UL subband.</w:t>
        </w:r>
      </w:hyperlink>
    </w:p>
    <w:p w14:paraId="3D32B249" w14:textId="3AAE70EB"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8" w:history="1">
        <w:r w:rsidRPr="008026E2">
          <w:rPr>
            <w:rStyle w:val="Hyperlink"/>
            <w:noProof/>
          </w:rPr>
          <w:t>Observation 18</w:t>
        </w:r>
        <w:r>
          <w:rPr>
            <w:rFonts w:asciiTheme="minorHAnsi" w:eastAsiaTheme="minorEastAsia" w:hAnsiTheme="minorHAnsi"/>
            <w:b w:val="0"/>
            <w:noProof/>
            <w:kern w:val="2"/>
            <w:sz w:val="22"/>
            <w:lang w:val="en-SE" w:eastAsia="ja-JP"/>
            <w14:ligatures w14:val="standardContextual"/>
          </w:rPr>
          <w:tab/>
        </w:r>
        <w:r w:rsidRPr="008026E2">
          <w:rPr>
            <w:rStyle w:val="Hyperlink"/>
            <w:noProof/>
          </w:rPr>
          <w:t>Given that Option 1 requires multiple CSI-RS resources and hence its feasibility is subject to the UE capabilities with respect to the maximum number of configured CSI-RS resources and/or processing of non-contiguous CSI-RS.</w:t>
        </w:r>
      </w:hyperlink>
    </w:p>
    <w:p w14:paraId="5CEE6EBD" w14:textId="083017E2"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3999" w:history="1">
        <w:r w:rsidRPr="008026E2">
          <w:rPr>
            <w:rStyle w:val="Hyperlink"/>
            <w:noProof/>
          </w:rPr>
          <w:t>Observation 19</w:t>
        </w:r>
        <w:r>
          <w:rPr>
            <w:rFonts w:asciiTheme="minorHAnsi" w:eastAsiaTheme="minorEastAsia" w:hAnsiTheme="minorHAnsi"/>
            <w:b w:val="0"/>
            <w:noProof/>
            <w:kern w:val="2"/>
            <w:sz w:val="22"/>
            <w:lang w:val="en-SE" w:eastAsia="ja-JP"/>
            <w14:ligatures w14:val="standardContextual"/>
          </w:rPr>
          <w:tab/>
        </w:r>
        <w:r w:rsidRPr="008026E2">
          <w:rPr>
            <w:rStyle w:val="Hyperlink"/>
            <w:noProof/>
          </w:rPr>
          <w:t>Option 2-1 offers the most flexible CSI-RS resource allocation within the DL subband(s) and does not consume additional CSI-RS resources from the UE capability budget.</w:t>
        </w:r>
      </w:hyperlink>
    </w:p>
    <w:p w14:paraId="421B28CB" w14:textId="7A009613"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0" w:history="1">
        <w:r w:rsidRPr="008026E2">
          <w:rPr>
            <w:rStyle w:val="Hyperlink"/>
            <w:noProof/>
          </w:rPr>
          <w:t>Observation 20</w:t>
        </w:r>
        <w:r>
          <w:rPr>
            <w:rFonts w:asciiTheme="minorHAnsi" w:eastAsiaTheme="minorEastAsia" w:hAnsiTheme="minorHAnsi"/>
            <w:b w:val="0"/>
            <w:noProof/>
            <w:kern w:val="2"/>
            <w:sz w:val="22"/>
            <w:lang w:val="en-SE" w:eastAsia="ja-JP"/>
            <w14:ligatures w14:val="standardContextual"/>
          </w:rPr>
          <w:tab/>
        </w:r>
        <w:r w:rsidRPr="008026E2">
          <w:rPr>
            <w:rStyle w:val="Hyperlink"/>
            <w:noProof/>
          </w:rPr>
          <w:t>By explicitly configuring csi-ReportingBand in the reportFreqConfiguration, the gNB can request the UE to report the CSI for the contiguous or non-contiguous subset of subbands in the bandwidth part.</w:t>
        </w:r>
      </w:hyperlink>
    </w:p>
    <w:p w14:paraId="26F8CF4F" w14:textId="6DE8F0CB"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1" w:history="1">
        <w:r w:rsidRPr="008026E2">
          <w:rPr>
            <w:rStyle w:val="Hyperlink"/>
            <w:noProof/>
          </w:rPr>
          <w:t>Observation 21</w:t>
        </w:r>
        <w:r>
          <w:rPr>
            <w:rFonts w:asciiTheme="minorHAnsi" w:eastAsiaTheme="minorEastAsia" w:hAnsiTheme="minorHAnsi"/>
            <w:b w:val="0"/>
            <w:noProof/>
            <w:kern w:val="2"/>
            <w:sz w:val="22"/>
            <w:lang w:val="en-SE" w:eastAsia="ja-JP"/>
            <w14:ligatures w14:val="standardContextual"/>
          </w:rPr>
          <w:tab/>
        </w:r>
        <w:r w:rsidRPr="008026E2">
          <w:rPr>
            <w:rStyle w:val="Hyperlink"/>
            <w:noProof/>
          </w:rPr>
          <w:t>Restricting multi-slot UL transmissions to either in SBFD slot or non-SBFD slot (i.e., Option 1) can be supported without degrading on latency or coverage by using multiple DCIs scheduling.</w:t>
        </w:r>
      </w:hyperlink>
    </w:p>
    <w:p w14:paraId="3235E231" w14:textId="3F583D56"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2" w:history="1">
        <w:r w:rsidRPr="008026E2">
          <w:rPr>
            <w:rStyle w:val="Hyperlink"/>
            <w:noProof/>
          </w:rPr>
          <w:t>Observation 22</w:t>
        </w:r>
        <w:r>
          <w:rPr>
            <w:rFonts w:asciiTheme="minorHAnsi" w:eastAsiaTheme="minorEastAsia" w:hAnsiTheme="minorHAnsi"/>
            <w:b w:val="0"/>
            <w:noProof/>
            <w:kern w:val="2"/>
            <w:sz w:val="22"/>
            <w:lang w:val="en-SE" w:eastAsia="ja-JP"/>
            <w14:ligatures w14:val="standardContextual"/>
          </w:rPr>
          <w:tab/>
        </w:r>
        <w:r w:rsidRPr="008026E2">
          <w:rPr>
            <w:rStyle w:val="Hyperlink"/>
            <w:noProof/>
          </w:rPr>
          <w:t>TBoMS can be considered as a special case of PUSCH Repetition Type A. The TBoMS behaviors in SBFD operation can be discussed together with the normal PUSCH repetition.</w:t>
        </w:r>
      </w:hyperlink>
    </w:p>
    <w:p w14:paraId="58333922" w14:textId="26E5C68A"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3" w:history="1">
        <w:r w:rsidRPr="008026E2">
          <w:rPr>
            <w:rStyle w:val="Hyperlink"/>
            <w:noProof/>
            <w:lang w:val="en-GB"/>
          </w:rPr>
          <w:t>Observation 23</w:t>
        </w:r>
        <w:r>
          <w:rPr>
            <w:rFonts w:asciiTheme="minorHAnsi" w:eastAsiaTheme="minorEastAsia" w:hAnsiTheme="minorHAnsi"/>
            <w:b w:val="0"/>
            <w:noProof/>
            <w:kern w:val="2"/>
            <w:sz w:val="22"/>
            <w:lang w:val="en-SE" w:eastAsia="ja-JP"/>
            <w14:ligatures w14:val="standardContextual"/>
          </w:rPr>
          <w:tab/>
        </w:r>
        <w:r w:rsidRPr="008026E2">
          <w:rPr>
            <w:rStyle w:val="Hyperlink"/>
            <w:noProof/>
            <w:lang w:val="en-GB"/>
          </w:rPr>
          <w:t>The gNB has knowledge of when the additional interference may occur in SBFD symbols for scheduled/configured UL transmissions and can thus account for the additional interference in the power control configuration and/or TPC commands that it signals to the UE.</w:t>
        </w:r>
      </w:hyperlink>
    </w:p>
    <w:p w14:paraId="7D91EC5D" w14:textId="4023A432" w:rsidR="006E1C82" w:rsidRDefault="006F6582" w:rsidP="00776C1E">
      <w:pPr>
        <w:pStyle w:val="BodyText"/>
        <w:rPr>
          <w:b/>
          <w:bCs/>
        </w:rPr>
      </w:pPr>
      <w:r>
        <w:rPr>
          <w:b/>
          <w:bCs/>
        </w:rPr>
        <w:fldChar w:fldCharType="end"/>
      </w:r>
    </w:p>
    <w:p w14:paraId="6225A1B8" w14:textId="77777777" w:rsidR="006E1C82" w:rsidRDefault="008E065E" w:rsidP="00776C1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169F60" w14:textId="77777777" w:rsidR="00D32653" w:rsidRDefault="006E1C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4004" w:history="1">
        <w:r w:rsidR="00D32653" w:rsidRPr="008F17D6">
          <w:rPr>
            <w:rStyle w:val="Hyperlink"/>
            <w:noProof/>
          </w:rPr>
          <w:t>Proposal 1</w:t>
        </w:r>
        <w:r w:rsidR="00D32653">
          <w:rPr>
            <w:rFonts w:asciiTheme="minorHAnsi" w:eastAsiaTheme="minorEastAsia" w:hAnsiTheme="minorHAnsi"/>
            <w:b w:val="0"/>
            <w:noProof/>
            <w:kern w:val="2"/>
            <w:sz w:val="22"/>
            <w:lang w:val="en-SE" w:eastAsia="ja-JP"/>
            <w14:ligatures w14:val="standardContextual"/>
          </w:rPr>
          <w:tab/>
        </w:r>
        <w:r w:rsidR="00D32653" w:rsidRPr="008F17D6">
          <w:rPr>
            <w:rStyle w:val="Hyperlink"/>
            <w:noProof/>
          </w:rPr>
          <w:t>Postpone the decision of whether to include SBFD configurations in cell-specific signaling (</w:t>
        </w:r>
        <w:r w:rsidR="00D32653" w:rsidRPr="008F17D6">
          <w:rPr>
            <w:rStyle w:val="Hyperlink"/>
            <w:noProof/>
            <w:lang w:eastAsia="ja-JP"/>
          </w:rPr>
          <w:t>TDD-UL-DL-ConfigCommon</w:t>
        </w:r>
        <w:r w:rsidR="00D32653" w:rsidRPr="008F17D6">
          <w:rPr>
            <w:rStyle w:val="Hyperlink"/>
            <w:noProof/>
          </w:rPr>
          <w:t>) or not to after the RAN#104 decision on supporting random access in RRC_IDLE mode or not.</w:t>
        </w:r>
      </w:hyperlink>
    </w:p>
    <w:p w14:paraId="5FECF838"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5" w:history="1">
        <w:r w:rsidRPr="008F17D6">
          <w:rPr>
            <w:rStyle w:val="Hyperlink"/>
            <w:noProof/>
          </w:rPr>
          <w:t>Proposal 2</w:t>
        </w:r>
        <w:r>
          <w:rPr>
            <w:rFonts w:asciiTheme="minorHAnsi" w:eastAsiaTheme="minorEastAsia" w:hAnsiTheme="minorHAnsi"/>
            <w:b w:val="0"/>
            <w:noProof/>
            <w:kern w:val="2"/>
            <w:sz w:val="22"/>
            <w:lang w:val="en-SE" w:eastAsia="ja-JP"/>
            <w14:ligatures w14:val="standardContextual"/>
          </w:rPr>
          <w:tab/>
        </w:r>
        <w:r w:rsidRPr="008F17D6">
          <w:rPr>
            <w:rStyle w:val="Hyperlink"/>
            <w:noProof/>
          </w:rPr>
          <w:t xml:space="preserve">For semi-static configuration of SBFD subband time locations within a period, the periodicity is determined by the existing DL-UL transmission periodicity parameter(s) defined in </w:t>
        </w:r>
        <w:r w:rsidRPr="008F17D6">
          <w:rPr>
            <w:rStyle w:val="Hyperlink"/>
            <w:i/>
            <w:iCs/>
            <w:noProof/>
          </w:rPr>
          <w:t>TDD-UL-DL-ConfigCommon</w:t>
        </w:r>
        <w:r w:rsidRPr="008F17D6">
          <w:rPr>
            <w:rStyle w:val="Hyperlink"/>
            <w:noProof/>
          </w:rPr>
          <w:t xml:space="preserve">. </w:t>
        </w:r>
        <w:r w:rsidRPr="008F17D6">
          <w:rPr>
            <w:rStyle w:val="Hyperlink"/>
            <w:noProof/>
            <w:lang w:eastAsia="ja-JP"/>
          </w:rPr>
          <w:t>In case two patterns are used, the SBFD period is the sum of the periodicity in pattern1 and pattern2.</w:t>
        </w:r>
      </w:hyperlink>
    </w:p>
    <w:p w14:paraId="20FB6E16"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6" w:history="1">
        <w:r w:rsidRPr="008F17D6">
          <w:rPr>
            <w:rStyle w:val="Hyperlink"/>
            <w:noProof/>
          </w:rPr>
          <w:t>Proposal 3</w:t>
        </w:r>
        <w:r>
          <w:rPr>
            <w:rFonts w:asciiTheme="minorHAnsi" w:eastAsiaTheme="minorEastAsia" w:hAnsiTheme="minorHAnsi"/>
            <w:b w:val="0"/>
            <w:noProof/>
            <w:kern w:val="2"/>
            <w:sz w:val="22"/>
            <w:lang w:val="en-SE" w:eastAsia="ja-JP"/>
            <w14:ligatures w14:val="standardContextual"/>
          </w:rPr>
          <w:tab/>
        </w:r>
        <w:r w:rsidRPr="008F17D6">
          <w:rPr>
            <w:rStyle w:val="Hyperlink"/>
            <w:noProof/>
          </w:rPr>
          <w:t xml:space="preserve">For a semi-static configuration of SBFD subband time locations within a period, a subset of DL and/or flexible symbols (as configured in </w:t>
        </w:r>
        <w:r w:rsidRPr="008F17D6">
          <w:rPr>
            <w:rStyle w:val="Hyperlink"/>
            <w:i/>
            <w:iCs/>
            <w:noProof/>
          </w:rPr>
          <w:t>TDD-UL-DL-ConfigCommon</w:t>
        </w:r>
        <w:r w:rsidRPr="008F17D6">
          <w:rPr>
            <w:rStyle w:val="Hyperlink"/>
            <w:noProof/>
          </w:rPr>
          <w:t xml:space="preserve"> and/or </w:t>
        </w:r>
        <w:r w:rsidRPr="008F17D6">
          <w:rPr>
            <w:rStyle w:val="Hyperlink"/>
            <w:i/>
            <w:iCs/>
            <w:noProof/>
            <w:lang w:val="en-GB" w:eastAsia="ja-JP"/>
          </w:rPr>
          <w:t>TDD-UL-DL-ConfigDedicated</w:t>
        </w:r>
        <w:r w:rsidRPr="008F17D6">
          <w:rPr>
            <w:rStyle w:val="Hyperlink"/>
            <w:noProof/>
          </w:rPr>
          <w:t>) can be configured as SBFD symbols.</w:t>
        </w:r>
      </w:hyperlink>
    </w:p>
    <w:p w14:paraId="68BB117D"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7" w:history="1">
        <w:r w:rsidRPr="008F17D6">
          <w:rPr>
            <w:rStyle w:val="Hyperlink"/>
            <w:noProof/>
            <w:lang w:eastAsia="ja-JP"/>
          </w:rPr>
          <w:t>Proposal 4</w:t>
        </w:r>
        <w:r>
          <w:rPr>
            <w:rFonts w:asciiTheme="minorHAnsi" w:eastAsiaTheme="minorEastAsia" w:hAnsiTheme="minorHAnsi"/>
            <w:b w:val="0"/>
            <w:noProof/>
            <w:kern w:val="2"/>
            <w:sz w:val="22"/>
            <w:lang w:val="en-SE" w:eastAsia="ja-JP"/>
            <w14:ligatures w14:val="standardContextual"/>
          </w:rPr>
          <w:tab/>
        </w:r>
        <w:r w:rsidRPr="008F17D6">
          <w:rPr>
            <w:rStyle w:val="Hyperlink"/>
            <w:noProof/>
          </w:rPr>
          <w:t>At least for semi-static configuration in cell-specific signaling of SBFD subband time locations within a TDD UL/DL period,</w:t>
        </w:r>
        <w:r w:rsidRPr="008F17D6">
          <w:rPr>
            <w:rStyle w:val="Hyperlink"/>
            <w:noProof/>
            <w:lang w:eastAsia="ja-JP"/>
          </w:rPr>
          <w:t xml:space="preserve"> at most one set of consecutive symbols are configured as SBFD symbols. That is, at most two switching points can occur at a slot boundary or within a slot.</w:t>
        </w:r>
      </w:hyperlink>
    </w:p>
    <w:p w14:paraId="6B9ADDE5"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8" w:history="1">
        <w:r w:rsidRPr="008F17D6">
          <w:rPr>
            <w:rStyle w:val="Hyperlink"/>
            <w:noProof/>
          </w:rPr>
          <w:t>Proposal 5</w:t>
        </w:r>
        <w:r>
          <w:rPr>
            <w:rFonts w:asciiTheme="minorHAnsi" w:eastAsiaTheme="minorEastAsia" w:hAnsiTheme="minorHAnsi"/>
            <w:b w:val="0"/>
            <w:noProof/>
            <w:kern w:val="2"/>
            <w:sz w:val="22"/>
            <w:lang w:val="en-SE" w:eastAsia="ja-JP"/>
            <w14:ligatures w14:val="standardContextual"/>
          </w:rPr>
          <w:tab/>
        </w:r>
        <w:r w:rsidRPr="008F17D6">
          <w:rPr>
            <w:rStyle w:val="Hyperlink"/>
            <w:noProof/>
          </w:rPr>
          <w:t>For semi-static configuration of a subband frequency location, the same frequency resources across different SBFD symbols are used.</w:t>
        </w:r>
      </w:hyperlink>
    </w:p>
    <w:p w14:paraId="2F3F9334"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09" w:history="1">
        <w:r w:rsidRPr="008F17D6">
          <w:rPr>
            <w:rStyle w:val="Hyperlink"/>
            <w:noProof/>
          </w:rPr>
          <w:t>Proposal 6</w:t>
        </w:r>
        <w:r>
          <w:rPr>
            <w:rFonts w:asciiTheme="minorHAnsi" w:eastAsiaTheme="minorEastAsia" w:hAnsiTheme="minorHAnsi"/>
            <w:b w:val="0"/>
            <w:noProof/>
            <w:kern w:val="2"/>
            <w:sz w:val="22"/>
            <w:lang w:val="en-SE" w:eastAsia="ja-JP"/>
            <w14:ligatures w14:val="standardContextual"/>
          </w:rPr>
          <w:tab/>
        </w:r>
        <w:r w:rsidRPr="008F17D6">
          <w:rPr>
            <w:rStyle w:val="Hyperlink"/>
            <w:noProof/>
          </w:rPr>
          <w:t>For semi-static configuration of subband frequency location, the CRB grid is used as reference.</w:t>
        </w:r>
      </w:hyperlink>
    </w:p>
    <w:p w14:paraId="34FEF2DB"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0" w:history="1">
        <w:r w:rsidRPr="008F17D6">
          <w:rPr>
            <w:rStyle w:val="Hyperlink"/>
            <w:noProof/>
          </w:rPr>
          <w:t>Proposal 7</w:t>
        </w:r>
        <w:r>
          <w:rPr>
            <w:rFonts w:asciiTheme="minorHAnsi" w:eastAsiaTheme="minorEastAsia" w:hAnsiTheme="minorHAnsi"/>
            <w:b w:val="0"/>
            <w:noProof/>
            <w:kern w:val="2"/>
            <w:sz w:val="22"/>
            <w:lang w:val="en-SE" w:eastAsia="ja-JP"/>
            <w14:ligatures w14:val="standardContextual"/>
          </w:rPr>
          <w:tab/>
        </w:r>
        <w:r w:rsidRPr="008F17D6">
          <w:rPr>
            <w:rStyle w:val="Hyperlink"/>
            <w:noProof/>
          </w:rPr>
          <w:t>Support Option 1 in TR 38.858 on DL subband configuration: within an SBFD symbol, a single UL subband and one or two DL subband(s) are explicitly configured as RB sets, each with configurable size/location, within a carrier.</w:t>
        </w:r>
      </w:hyperlink>
    </w:p>
    <w:p w14:paraId="33B7818B"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1" w:history="1">
        <w:r w:rsidRPr="008F17D6">
          <w:rPr>
            <w:rStyle w:val="Hyperlink"/>
            <w:noProof/>
            <w:lang w:val="en-GB"/>
          </w:rPr>
          <w:t>Proposal 8</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DL and UL subbands in SBFD symbols are time aligned with the DL and UL frame timing, respectively.</w:t>
        </w:r>
      </w:hyperlink>
    </w:p>
    <w:p w14:paraId="21F17E00"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2" w:history="1">
        <w:r w:rsidRPr="008F17D6">
          <w:rPr>
            <w:rStyle w:val="Hyperlink"/>
            <w:noProof/>
          </w:rPr>
          <w:t>Proposal 9</w:t>
        </w:r>
        <w:r>
          <w:rPr>
            <w:rFonts w:asciiTheme="minorHAnsi" w:eastAsiaTheme="minorEastAsia" w:hAnsiTheme="minorHAnsi"/>
            <w:b w:val="0"/>
            <w:noProof/>
            <w:kern w:val="2"/>
            <w:sz w:val="22"/>
            <w:lang w:val="en-SE" w:eastAsia="ja-JP"/>
            <w14:ligatures w14:val="standardContextual"/>
          </w:rPr>
          <w:tab/>
        </w:r>
        <w:r w:rsidRPr="008F17D6">
          <w:rPr>
            <w:rStyle w:val="Hyperlink"/>
            <w:noProof/>
          </w:rPr>
          <w:t>An SBFD configured UE ignores SFI carried in DCI format 2_0 for SBFD symbols. For symbols not configured for SBFD operation, the UE still follows the transmission direction indicated by SFI in DCI format 2_0.</w:t>
        </w:r>
      </w:hyperlink>
    </w:p>
    <w:p w14:paraId="487B8AEF"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3" w:history="1">
        <w:r w:rsidRPr="008F17D6">
          <w:rPr>
            <w:rStyle w:val="Hyperlink"/>
            <w:noProof/>
            <w:lang w:eastAsia="ja-JP"/>
          </w:rPr>
          <w:t>Proposal 10</w:t>
        </w:r>
        <w:r>
          <w:rPr>
            <w:rFonts w:asciiTheme="minorHAnsi" w:eastAsiaTheme="minorEastAsia" w:hAnsiTheme="minorHAnsi"/>
            <w:b w:val="0"/>
            <w:noProof/>
            <w:kern w:val="2"/>
            <w:sz w:val="22"/>
            <w:lang w:val="en-SE" w:eastAsia="ja-JP"/>
            <w14:ligatures w14:val="standardContextual"/>
          </w:rPr>
          <w:tab/>
        </w:r>
        <w:r w:rsidRPr="008F17D6">
          <w:rPr>
            <w:rStyle w:val="Hyperlink"/>
            <w:noProof/>
          </w:rPr>
          <w:t>The UE is not expected to receive dedicated higher layer signaling configuring both transmission and reception in the same SBFD symbol.</w:t>
        </w:r>
      </w:hyperlink>
    </w:p>
    <w:p w14:paraId="468DD0DC"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4" w:history="1">
        <w:r w:rsidRPr="008F17D6">
          <w:rPr>
            <w:rStyle w:val="Hyperlink"/>
            <w:noProof/>
            <w:lang w:val="en-GB"/>
          </w:rPr>
          <w:t>Proposal 11</w:t>
        </w:r>
        <w:r>
          <w:rPr>
            <w:rFonts w:asciiTheme="minorHAnsi" w:eastAsiaTheme="minorEastAsia" w:hAnsiTheme="minorHAnsi"/>
            <w:b w:val="0"/>
            <w:noProof/>
            <w:kern w:val="2"/>
            <w:sz w:val="22"/>
            <w:lang w:val="en-SE" w:eastAsia="ja-JP"/>
            <w14:ligatures w14:val="standardContextual"/>
          </w:rPr>
          <w:tab/>
        </w:r>
        <w:r w:rsidRPr="008F17D6">
          <w:rPr>
            <w:rStyle w:val="Hyperlink"/>
            <w:rFonts w:cs="Arial"/>
            <w:noProof/>
            <w:lang w:val="en-GB"/>
          </w:rPr>
          <w:t xml:space="preserve">SBFD capable UEs may transmit in the UL subband of </w:t>
        </w:r>
        <w:r w:rsidRPr="008F17D6">
          <w:rPr>
            <w:rStyle w:val="Hyperlink"/>
            <w:rFonts w:cs="Arial"/>
            <w:noProof/>
          </w:rPr>
          <w:t xml:space="preserve">a set of SBFD symbols of a slot that are indicated to a UE as downlink by </w:t>
        </w:r>
        <w:r w:rsidRPr="008F17D6">
          <w:rPr>
            <w:rStyle w:val="Hyperlink"/>
            <w:rFonts w:cs="Arial"/>
            <w:i/>
            <w:iCs/>
            <w:noProof/>
          </w:rPr>
          <w:t>tdd-UL-DL-ConfigurationCommon</w:t>
        </w:r>
        <w:r w:rsidRPr="008F17D6">
          <w:rPr>
            <w:rStyle w:val="Hyperlink"/>
            <w:noProof/>
            <w:lang w:val="en-GB"/>
          </w:rPr>
          <w:t>.</w:t>
        </w:r>
      </w:hyperlink>
    </w:p>
    <w:p w14:paraId="49926030"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5" w:history="1">
        <w:r w:rsidRPr="008F17D6">
          <w:rPr>
            <w:rStyle w:val="Hyperlink"/>
            <w:noProof/>
          </w:rPr>
          <w:t>Proposal 12</w:t>
        </w:r>
        <w:r>
          <w:rPr>
            <w:rFonts w:asciiTheme="minorHAnsi" w:eastAsiaTheme="minorEastAsia" w:hAnsiTheme="minorHAnsi"/>
            <w:b w:val="0"/>
            <w:noProof/>
            <w:kern w:val="2"/>
            <w:sz w:val="22"/>
            <w:lang w:val="en-SE" w:eastAsia="ja-JP"/>
            <w14:ligatures w14:val="standardContextual"/>
          </w:rPr>
          <w:tab/>
        </w:r>
        <w:r w:rsidRPr="008F17D6">
          <w:rPr>
            <w:rStyle w:val="Hyperlink"/>
            <w:noProof/>
          </w:rPr>
          <w:t>If SBFD symbol overlaps an SS/PBCH block symbol, a UE shall/shall not transmit in the UL subband of this symbol depending on configuration. Example configurability is to (a) prioritize UL transmissions, or (b) prioritize SS/PBCH block reception.</w:t>
        </w:r>
      </w:hyperlink>
    </w:p>
    <w:p w14:paraId="0F80EA3B"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6" w:history="1">
        <w:r w:rsidRPr="008F17D6">
          <w:rPr>
            <w:rStyle w:val="Hyperlink"/>
            <w:noProof/>
          </w:rPr>
          <w:t>Proposal 13</w:t>
        </w:r>
        <w:r>
          <w:rPr>
            <w:rFonts w:asciiTheme="minorHAnsi" w:eastAsiaTheme="minorEastAsia" w:hAnsiTheme="minorHAnsi"/>
            <w:b w:val="0"/>
            <w:noProof/>
            <w:kern w:val="2"/>
            <w:sz w:val="22"/>
            <w:lang w:val="en-SE" w:eastAsia="ja-JP"/>
            <w14:ligatures w14:val="standardContextual"/>
          </w:rPr>
          <w:tab/>
        </w:r>
        <w:r w:rsidRPr="008F17D6">
          <w:rPr>
            <w:rStyle w:val="Hyperlink"/>
            <w:noProof/>
          </w:rPr>
          <w:t>A UE is not expected to be scheduled for transmission or reception across SBFD and non-SBFD symbols within a slot.</w:t>
        </w:r>
      </w:hyperlink>
    </w:p>
    <w:p w14:paraId="5FA69646"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7" w:history="1">
        <w:r w:rsidRPr="008F17D6">
          <w:rPr>
            <w:rStyle w:val="Hyperlink"/>
            <w:noProof/>
          </w:rPr>
          <w:t>Proposal 14</w:t>
        </w:r>
        <w:r>
          <w:rPr>
            <w:rFonts w:asciiTheme="minorHAnsi" w:eastAsiaTheme="minorEastAsia" w:hAnsiTheme="minorHAnsi"/>
            <w:b w:val="0"/>
            <w:noProof/>
            <w:kern w:val="2"/>
            <w:sz w:val="22"/>
            <w:lang w:val="en-SE" w:eastAsia="ja-JP"/>
            <w14:ligatures w14:val="standardContextual"/>
          </w:rPr>
          <w:tab/>
        </w:r>
        <w:r w:rsidRPr="008F17D6">
          <w:rPr>
            <w:rStyle w:val="Hyperlink"/>
            <w:noProof/>
          </w:rPr>
          <w:t>The existing specifications for CORESET and search space configuration are sufficiently flexible to support SBFD operation. It is not recommended to pursue PDCCH enhancements to cover a (corner) case in which different MOs of the same search space could potentially occur in both SBFD and non-SBFD symbols and the associated CORESET overlaps the boundary of a DL subband in SBFD symbols.</w:t>
        </w:r>
      </w:hyperlink>
    </w:p>
    <w:p w14:paraId="14DFE827"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8" w:history="1">
        <w:r w:rsidRPr="008F17D6">
          <w:rPr>
            <w:rStyle w:val="Hyperlink"/>
            <w:noProof/>
            <w:lang w:val="en-GB"/>
          </w:rPr>
          <w:t>Proposal 15</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If PDSCH repetition transmissions are restricted to SBFD symbols only or non-SBFD symbols only in multiple slots (Option 1), the repetition slot type can be indicated explicitly by scheduling indication/configuration or derived based on the slot type of the first valid repetition occasion.</w:t>
        </w:r>
      </w:hyperlink>
    </w:p>
    <w:p w14:paraId="6CD9E925"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19" w:history="1">
        <w:r w:rsidRPr="008F17D6">
          <w:rPr>
            <w:rStyle w:val="Hyperlink"/>
            <w:noProof/>
            <w:lang w:val="en-GB"/>
          </w:rPr>
          <w:t>Proposal 16</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If multi-slot PDSCH transmissions can be across SBFD and non-SBFD slots (Option 2), adopt the solution where the scheduling DCI includes a single FDRA field, which indicates a set of VRB and be mapped to a different set of PRBs in SBFD and non-SBFD slots.</w:t>
        </w:r>
      </w:hyperlink>
    </w:p>
    <w:p w14:paraId="7ED22D7E"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0" w:history="1">
        <w:r w:rsidRPr="008F17D6">
          <w:rPr>
            <w:rStyle w:val="Hyperlink"/>
            <w:noProof/>
            <w:lang w:val="en-GB"/>
          </w:rPr>
          <w:t>Proposal 17</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If PRG based precoding is configured for PDSCH, for a DL PRG that overlaps with subband boundary, the part of the DL PRB inside the DL subband can be used for PDSCH transmission.</w:t>
        </w:r>
      </w:hyperlink>
    </w:p>
    <w:p w14:paraId="6028411E"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1" w:history="1">
        <w:r w:rsidRPr="008F17D6">
          <w:rPr>
            <w:rStyle w:val="Hyperlink"/>
            <w:noProof/>
            <w:lang w:val="en-GB"/>
          </w:rPr>
          <w:t>Proposal 18</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If wideband precoding is configured for PDSCH, adopt option 1 in Section 6.1.2 in TR 38.858, i.e., non-contiguous frequency resources across two DL subbands but contiguous frequency resource within each DL subband can be allocated.</w:t>
        </w:r>
      </w:hyperlink>
    </w:p>
    <w:p w14:paraId="03570FF7"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2" w:history="1">
        <w:r w:rsidRPr="008F17D6">
          <w:rPr>
            <w:rStyle w:val="Hyperlink"/>
            <w:noProof/>
            <w:lang w:val="en-GB" w:eastAsia="ja-JP"/>
          </w:rPr>
          <w:t>Proposal 17</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 xml:space="preserve">Enhance </w:t>
        </w:r>
        <w:r w:rsidRPr="008F17D6">
          <w:rPr>
            <w:rStyle w:val="Hyperlink"/>
            <w:noProof/>
          </w:rPr>
          <w:t>DL Resource Allocation Type 0 for SBFD operation such that the frequency domain resource assignment field in DCI is backward compatible for Release 18 and older UEs and optimized for Release 19 and onwards UEs.</w:t>
        </w:r>
      </w:hyperlink>
    </w:p>
    <w:p w14:paraId="3E0C3812"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3" w:history="1">
        <w:r w:rsidRPr="008F17D6">
          <w:rPr>
            <w:rStyle w:val="Hyperlink"/>
            <w:noProof/>
            <w:lang w:val="en-GB" w:eastAsia="ja-JP"/>
          </w:rPr>
          <w:t>Proposal 18</w:t>
        </w:r>
        <w:r>
          <w:rPr>
            <w:rFonts w:asciiTheme="minorHAnsi" w:eastAsiaTheme="minorEastAsia" w:hAnsiTheme="minorHAnsi"/>
            <w:b w:val="0"/>
            <w:noProof/>
            <w:kern w:val="2"/>
            <w:sz w:val="22"/>
            <w:lang w:val="en-SE" w:eastAsia="ja-JP"/>
            <w14:ligatures w14:val="standardContextual"/>
          </w:rPr>
          <w:tab/>
        </w:r>
        <w:r w:rsidRPr="008F17D6">
          <w:rPr>
            <w:rStyle w:val="Hyperlink"/>
            <w:noProof/>
          </w:rPr>
          <w:t>Enhance DL Resource Allocation Type 1 for SBFD operation so that the inclusion of the UL subband and guardbands is transparent to Release 18 and older UEs and is allowed with full potentiality to allocated resources across multiple subbands, and optimized for Release 19 and onwards UEs.</w:t>
        </w:r>
      </w:hyperlink>
    </w:p>
    <w:p w14:paraId="75CFCCFF"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4" w:history="1">
        <w:r w:rsidRPr="008F17D6">
          <w:rPr>
            <w:rStyle w:val="Hyperlink"/>
            <w:noProof/>
            <w:lang w:val="en-GB" w:eastAsia="ja-JP"/>
          </w:rPr>
          <w:t>Proposal 19</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eastAsia="ja-JP"/>
          </w:rPr>
          <w:t>Enhance PDSCH VRB-to-PRB mapping in SBFD operation so that the indicated VRBs are mapped to PRBs only in the DL subbands.</w:t>
        </w:r>
      </w:hyperlink>
    </w:p>
    <w:p w14:paraId="3FF85743"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5" w:history="1">
        <w:r w:rsidRPr="008F17D6">
          <w:rPr>
            <w:rStyle w:val="Hyperlink"/>
            <w:noProof/>
          </w:rPr>
          <w:t>Proposal 20</w:t>
        </w:r>
        <w:r>
          <w:rPr>
            <w:rFonts w:asciiTheme="minorHAnsi" w:eastAsiaTheme="minorEastAsia" w:hAnsiTheme="minorHAnsi"/>
            <w:b w:val="0"/>
            <w:noProof/>
            <w:kern w:val="2"/>
            <w:sz w:val="22"/>
            <w:lang w:val="en-SE" w:eastAsia="ja-JP"/>
            <w14:ligatures w14:val="standardContextual"/>
          </w:rPr>
          <w:tab/>
        </w:r>
        <w:r w:rsidRPr="008F17D6">
          <w:rPr>
            <w:rStyle w:val="Hyperlink"/>
            <w:noProof/>
          </w:rPr>
          <w:t>For CSI-RS resource configuration, while both Options 2-1 and 2-2 are available under one CSI-RS resource configuration, Option 2-1 is preferred due to its flexibility and the minor specification impact.</w:t>
        </w:r>
      </w:hyperlink>
    </w:p>
    <w:p w14:paraId="35386C4C"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6" w:history="1">
        <w:r w:rsidRPr="008F17D6">
          <w:rPr>
            <w:rStyle w:val="Hyperlink"/>
            <w:noProof/>
          </w:rPr>
          <w:t>Proposal 21</w:t>
        </w:r>
        <w:r>
          <w:rPr>
            <w:rFonts w:asciiTheme="minorHAnsi" w:eastAsiaTheme="minorEastAsia" w:hAnsiTheme="minorHAnsi"/>
            <w:b w:val="0"/>
            <w:noProof/>
            <w:kern w:val="2"/>
            <w:sz w:val="22"/>
            <w:lang w:val="en-SE" w:eastAsia="ja-JP"/>
            <w14:ligatures w14:val="standardContextual"/>
          </w:rPr>
          <w:tab/>
        </w:r>
        <w:r w:rsidRPr="008F17D6">
          <w:rPr>
            <w:rStyle w:val="Hyperlink"/>
            <w:noProof/>
          </w:rPr>
          <w:t>For SBFD-aware UEs, consider to support option 1-1 and 2-2 for CSI report configuration.</w:t>
        </w:r>
      </w:hyperlink>
    </w:p>
    <w:p w14:paraId="509F79F9"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7" w:history="1">
        <w:r w:rsidRPr="008F17D6">
          <w:rPr>
            <w:rStyle w:val="Hyperlink"/>
            <w:noProof/>
          </w:rPr>
          <w:t>Proposal 22</w:t>
        </w:r>
        <w:r>
          <w:rPr>
            <w:rFonts w:asciiTheme="minorHAnsi" w:eastAsiaTheme="minorEastAsia" w:hAnsiTheme="minorHAnsi"/>
            <w:b w:val="0"/>
            <w:noProof/>
            <w:kern w:val="2"/>
            <w:sz w:val="22"/>
            <w:lang w:val="en-SE" w:eastAsia="ja-JP"/>
            <w14:ligatures w14:val="standardContextual"/>
          </w:rPr>
          <w:tab/>
        </w:r>
        <w:r w:rsidRPr="008F17D6">
          <w:rPr>
            <w:rStyle w:val="Hyperlink"/>
            <w:noProof/>
          </w:rPr>
          <w:t>Legacy UEs, non-supportive of SBFD, can only transmit PUCCH in non-SBFD slots.</w:t>
        </w:r>
      </w:hyperlink>
    </w:p>
    <w:p w14:paraId="1117218C"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8" w:history="1">
        <w:r w:rsidRPr="008F17D6">
          <w:rPr>
            <w:rStyle w:val="Hyperlink"/>
            <w:noProof/>
          </w:rPr>
          <w:t>Proposal 23</w:t>
        </w:r>
        <w:r>
          <w:rPr>
            <w:rFonts w:asciiTheme="minorHAnsi" w:eastAsiaTheme="minorEastAsia" w:hAnsiTheme="minorHAnsi"/>
            <w:b w:val="0"/>
            <w:noProof/>
            <w:kern w:val="2"/>
            <w:sz w:val="22"/>
            <w:lang w:val="en-SE" w:eastAsia="ja-JP"/>
            <w14:ligatures w14:val="standardContextual"/>
          </w:rPr>
          <w:tab/>
        </w:r>
        <w:r w:rsidRPr="008F17D6">
          <w:rPr>
            <w:rStyle w:val="Hyperlink"/>
            <w:noProof/>
          </w:rPr>
          <w:t>Multi-slot PUCCH scheduling across SBFD and non-SBFD slots should be studied further.</w:t>
        </w:r>
      </w:hyperlink>
    </w:p>
    <w:p w14:paraId="3F6EB467"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29" w:history="1">
        <w:r w:rsidRPr="008F17D6">
          <w:rPr>
            <w:rStyle w:val="Hyperlink"/>
            <w:noProof/>
          </w:rPr>
          <w:t>Proposal 24</w:t>
        </w:r>
        <w:r>
          <w:rPr>
            <w:rFonts w:asciiTheme="minorHAnsi" w:eastAsiaTheme="minorEastAsia" w:hAnsiTheme="minorHAnsi"/>
            <w:b w:val="0"/>
            <w:noProof/>
            <w:kern w:val="2"/>
            <w:sz w:val="22"/>
            <w:lang w:val="en-SE" w:eastAsia="ja-JP"/>
            <w14:ligatures w14:val="standardContextual"/>
          </w:rPr>
          <w:tab/>
        </w:r>
        <w:r w:rsidRPr="008F17D6">
          <w:rPr>
            <w:rStyle w:val="Hyperlink"/>
            <w:noProof/>
          </w:rPr>
          <w:t>If multi-slot UL transmissions is restricted to Option 2, support single frequency domain resource allocation for PUSCH over SBFD symbols and non-SBFD symbols with potential enhancement on frequency hopping offset, correspond to Options 1-2 and Option 1-3 unde</w:t>
        </w:r>
        <w:r w:rsidRPr="008F17D6">
          <w:rPr>
            <w:rStyle w:val="Hyperlink"/>
            <w:noProof/>
            <w:lang w:val="en-GB"/>
          </w:rPr>
          <w:t>r “Option 1: Separate FDRA determination for SBFD slots and non-SBFD slots” in TR38.858</w:t>
        </w:r>
        <w:r w:rsidRPr="008F17D6">
          <w:rPr>
            <w:rStyle w:val="Hyperlink"/>
            <w:noProof/>
          </w:rPr>
          <w:t>.</w:t>
        </w:r>
      </w:hyperlink>
    </w:p>
    <w:p w14:paraId="150BA445"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30" w:history="1">
        <w:r w:rsidRPr="008F17D6">
          <w:rPr>
            <w:rStyle w:val="Hyperlink"/>
            <w:noProof/>
            <w:lang w:val="en-GB"/>
          </w:rPr>
          <w:t>Proposal 25</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rPr>
          <w:t>Separate resource configuration for SRS transmission in SBFD and non-SBFD slots is supported with the no/minor specification impact.</w:t>
        </w:r>
      </w:hyperlink>
    </w:p>
    <w:p w14:paraId="7AA99E2A" w14:textId="77777777" w:rsidR="00D32653" w:rsidRDefault="00D3265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4031" w:history="1">
        <w:r w:rsidRPr="008F17D6">
          <w:rPr>
            <w:rStyle w:val="Hyperlink"/>
            <w:noProof/>
            <w:lang w:val="en-GB" w:eastAsia="ja-JP"/>
          </w:rPr>
          <w:t>Proposal 26</w:t>
        </w:r>
        <w:r>
          <w:rPr>
            <w:rFonts w:asciiTheme="minorHAnsi" w:eastAsiaTheme="minorEastAsia" w:hAnsiTheme="minorHAnsi"/>
            <w:b w:val="0"/>
            <w:noProof/>
            <w:kern w:val="2"/>
            <w:sz w:val="22"/>
            <w:lang w:val="en-SE" w:eastAsia="ja-JP"/>
            <w14:ligatures w14:val="standardContextual"/>
          </w:rPr>
          <w:tab/>
        </w:r>
        <w:r w:rsidRPr="008F17D6">
          <w:rPr>
            <w:rStyle w:val="Hyperlink"/>
            <w:noProof/>
            <w:lang w:val="en-GB" w:eastAsia="ja-JP"/>
          </w:rPr>
          <w:t>If the</w:t>
        </w:r>
        <w:r w:rsidRPr="008F17D6">
          <w:rPr>
            <w:rStyle w:val="Hyperlink"/>
            <w:noProof/>
            <w:lang w:val="en-GB"/>
          </w:rPr>
          <w:t xml:space="preserve"> SRS</w:t>
        </w:r>
        <w:r w:rsidRPr="008F17D6">
          <w:rPr>
            <w:rStyle w:val="Hyperlink"/>
            <w:noProof/>
            <w:lang w:val="en-GB" w:eastAsia="ja-JP"/>
          </w:rPr>
          <w:t xml:space="preserve"> resource is either in SBFD only or non-SBFD only, then no specification changes needed to facilitate frequency hopping.</w:t>
        </w:r>
      </w:hyperlink>
    </w:p>
    <w:p w14:paraId="58ACA235" w14:textId="5825ACD0" w:rsidR="00C01F33" w:rsidRPr="00776C1E" w:rsidRDefault="006E1C82" w:rsidP="00776C1E">
      <w:pPr>
        <w:pStyle w:val="BodyText"/>
        <w:rPr>
          <w:b/>
          <w:bCs/>
        </w:rPr>
      </w:pPr>
      <w:r>
        <w:rPr>
          <w:b/>
          <w:bCs/>
        </w:rPr>
        <w:fldChar w:fldCharType="end"/>
      </w:r>
    </w:p>
    <w:p w14:paraId="71D79D99" w14:textId="77777777" w:rsidR="00F507D1" w:rsidRPr="00CE0424" w:rsidRDefault="00F507D1" w:rsidP="00CE0424">
      <w:pPr>
        <w:pStyle w:val="Heading1"/>
      </w:pPr>
      <w:bookmarkStart w:id="123" w:name="_In-sequence_SDU_delivery"/>
      <w:bookmarkEnd w:id="123"/>
      <w:r w:rsidRPr="00CE0424">
        <w:t>References</w:t>
      </w:r>
    </w:p>
    <w:p w14:paraId="1884BE92" w14:textId="7A694DC7" w:rsidR="00F96573" w:rsidRPr="00E7135D" w:rsidRDefault="00DA4BF1" w:rsidP="00DA4BF1">
      <w:pPr>
        <w:pStyle w:val="Reference"/>
        <w:rPr>
          <w:szCs w:val="20"/>
        </w:rPr>
      </w:pPr>
      <w:bookmarkStart w:id="124" w:name="_Ref158324309"/>
      <w:r w:rsidRPr="00E7135D">
        <w:rPr>
          <w:szCs w:val="20"/>
        </w:rPr>
        <w:t xml:space="preserve">RP-232763, 3GPP </w:t>
      </w:r>
      <w:bookmarkStart w:id="125" w:name="specType1"/>
      <w:r w:rsidRPr="00E7135D">
        <w:rPr>
          <w:szCs w:val="20"/>
        </w:rPr>
        <w:t>TR</w:t>
      </w:r>
      <w:bookmarkEnd w:id="125"/>
      <w:r w:rsidRPr="00E7135D">
        <w:rPr>
          <w:szCs w:val="20"/>
        </w:rPr>
        <w:t xml:space="preserve"> </w:t>
      </w:r>
      <w:bookmarkStart w:id="126" w:name="specNumber"/>
      <w:r w:rsidRPr="00E7135D">
        <w:rPr>
          <w:szCs w:val="20"/>
        </w:rPr>
        <w:t>38.</w:t>
      </w:r>
      <w:bookmarkEnd w:id="126"/>
      <w:r w:rsidRPr="00E7135D">
        <w:rPr>
          <w:szCs w:val="20"/>
        </w:rPr>
        <w:t xml:space="preserve">858 </w:t>
      </w:r>
      <w:bookmarkStart w:id="127" w:name="specVersion"/>
      <w:r w:rsidRPr="00E7135D">
        <w:rPr>
          <w:szCs w:val="20"/>
        </w:rPr>
        <w:t>V2.0.</w:t>
      </w:r>
      <w:bookmarkEnd w:id="127"/>
      <w:r w:rsidRPr="00E7135D">
        <w:rPr>
          <w:szCs w:val="20"/>
        </w:rPr>
        <w:t>0, Study on Evolution of NR Duplex Operation</w:t>
      </w:r>
      <w:r w:rsidR="00F96573" w:rsidRPr="00E7135D">
        <w:rPr>
          <w:szCs w:val="20"/>
        </w:rPr>
        <w:t>, December 2023.</w:t>
      </w:r>
      <w:bookmarkEnd w:id="124"/>
    </w:p>
    <w:p w14:paraId="4C2F50D5" w14:textId="58E6AE37" w:rsidR="003A7EF3" w:rsidRPr="00E7135D" w:rsidRDefault="00285534" w:rsidP="00E7135D">
      <w:pPr>
        <w:pStyle w:val="Reference"/>
        <w:rPr>
          <w:szCs w:val="20"/>
        </w:rPr>
      </w:pPr>
      <w:bookmarkStart w:id="128" w:name="_Ref158324440"/>
      <w:r w:rsidRPr="00E7135D">
        <w:rPr>
          <w:rFonts w:eastAsia="Batang" w:cs="Arial"/>
          <w:szCs w:val="20"/>
        </w:rPr>
        <w:t>RP-</w:t>
      </w:r>
      <w:r w:rsidR="00E63DBD" w:rsidRPr="00E7135D">
        <w:rPr>
          <w:rFonts w:eastAsia="Batang" w:cs="Arial"/>
          <w:szCs w:val="20"/>
        </w:rPr>
        <w:t xml:space="preserve">234035, </w:t>
      </w:r>
      <w:r w:rsidRPr="00E7135D">
        <w:rPr>
          <w:rFonts w:eastAsia="Batang" w:cs="Arial"/>
          <w:szCs w:val="20"/>
        </w:rPr>
        <w:t>New WID: Evolution of NR duplex operation: Sub-band full duplex (SBFD)</w:t>
      </w:r>
      <w:r w:rsidR="00E63DBD" w:rsidRPr="00E7135D">
        <w:rPr>
          <w:rFonts w:eastAsia="Batang" w:cs="Arial"/>
          <w:szCs w:val="20"/>
        </w:rPr>
        <w:t>, December 2023.</w:t>
      </w:r>
      <w:bookmarkEnd w:id="128"/>
      <w:r w:rsidR="00E63DBD" w:rsidRPr="00E7135D">
        <w:rPr>
          <w:rFonts w:eastAsia="Batang" w:cs="Arial"/>
          <w:szCs w:val="20"/>
        </w:rPr>
        <w:t xml:space="preserve"> </w:t>
      </w:r>
    </w:p>
    <w:sectPr w:rsidR="003A7EF3" w:rsidRPr="00E7135D"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45FBE" w14:textId="77777777" w:rsidR="00A515CA" w:rsidRDefault="00A515CA">
      <w:r>
        <w:separator/>
      </w:r>
    </w:p>
  </w:endnote>
  <w:endnote w:type="continuationSeparator" w:id="0">
    <w:p w14:paraId="69A181C5" w14:textId="77777777" w:rsidR="00A515CA" w:rsidRDefault="00A515CA">
      <w:r>
        <w:continuationSeparator/>
      </w:r>
    </w:p>
  </w:endnote>
  <w:endnote w:type="continuationNotice" w:id="1">
    <w:p w14:paraId="317D72BC" w14:textId="77777777" w:rsidR="00A515CA" w:rsidRDefault="00A515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879E" w14:textId="77777777" w:rsidR="00A515CA" w:rsidRDefault="00A515CA">
      <w:r>
        <w:separator/>
      </w:r>
    </w:p>
  </w:footnote>
  <w:footnote w:type="continuationSeparator" w:id="0">
    <w:p w14:paraId="1DB234A8" w14:textId="77777777" w:rsidR="00A515CA" w:rsidRDefault="00A515CA">
      <w:r>
        <w:continuationSeparator/>
      </w:r>
    </w:p>
  </w:footnote>
  <w:footnote w:type="continuationNotice" w:id="1">
    <w:p w14:paraId="46152E04" w14:textId="77777777" w:rsidR="00A515CA" w:rsidRDefault="00A515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4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6D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F1BAA"/>
    <w:multiLevelType w:val="hybridMultilevel"/>
    <w:tmpl w:val="06DC6E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7D7A0A"/>
    <w:multiLevelType w:val="hybridMultilevel"/>
    <w:tmpl w:val="45EE3210"/>
    <w:lvl w:ilvl="0" w:tplc="D7A69C8A">
      <w:start w:val="1"/>
      <w:numFmt w:val="bullet"/>
      <w:lvlText w:val="●"/>
      <w:lvlJc w:val="left"/>
      <w:pPr>
        <w:tabs>
          <w:tab w:val="num" w:pos="360"/>
        </w:tabs>
        <w:ind w:left="360" w:hanging="360"/>
      </w:pPr>
      <w:rPr>
        <w:rFonts w:ascii="Ericsson Hilda" w:hAnsi="Ericsson Hilda" w:hint="default"/>
      </w:rPr>
    </w:lvl>
    <w:lvl w:ilvl="1" w:tplc="CF046C30">
      <w:numFmt w:val="bullet"/>
      <w:lvlText w:val="–"/>
      <w:lvlJc w:val="left"/>
      <w:pPr>
        <w:tabs>
          <w:tab w:val="num" w:pos="1080"/>
        </w:tabs>
        <w:ind w:left="1080" w:hanging="360"/>
      </w:pPr>
      <w:rPr>
        <w:rFonts w:ascii="Ericsson Hilda" w:hAnsi="Ericsson Hilda" w:hint="default"/>
      </w:rPr>
    </w:lvl>
    <w:lvl w:ilvl="2" w:tplc="0E08C4C8">
      <w:numFmt w:val="bullet"/>
      <w:lvlText w:val="●"/>
      <w:lvlJc w:val="left"/>
      <w:pPr>
        <w:tabs>
          <w:tab w:val="num" w:pos="1800"/>
        </w:tabs>
        <w:ind w:left="1800" w:hanging="360"/>
      </w:pPr>
      <w:rPr>
        <w:rFonts w:ascii="Ericsson Hilda" w:hAnsi="Ericsson Hilda" w:hint="default"/>
      </w:rPr>
    </w:lvl>
    <w:lvl w:ilvl="3" w:tplc="AF8C4240">
      <w:start w:val="1"/>
      <w:numFmt w:val="bullet"/>
      <w:lvlText w:val="●"/>
      <w:lvlJc w:val="left"/>
      <w:pPr>
        <w:tabs>
          <w:tab w:val="num" w:pos="2520"/>
        </w:tabs>
        <w:ind w:left="2520" w:hanging="360"/>
      </w:pPr>
      <w:rPr>
        <w:rFonts w:ascii="Ericsson Hilda" w:hAnsi="Ericsson Hilda" w:hint="default"/>
      </w:rPr>
    </w:lvl>
    <w:lvl w:ilvl="4" w:tplc="FE1E4AE6" w:tentative="1">
      <w:start w:val="1"/>
      <w:numFmt w:val="bullet"/>
      <w:lvlText w:val="●"/>
      <w:lvlJc w:val="left"/>
      <w:pPr>
        <w:tabs>
          <w:tab w:val="num" w:pos="3240"/>
        </w:tabs>
        <w:ind w:left="3240" w:hanging="360"/>
      </w:pPr>
      <w:rPr>
        <w:rFonts w:ascii="Ericsson Hilda" w:hAnsi="Ericsson Hilda" w:hint="default"/>
      </w:rPr>
    </w:lvl>
    <w:lvl w:ilvl="5" w:tplc="E3246700" w:tentative="1">
      <w:start w:val="1"/>
      <w:numFmt w:val="bullet"/>
      <w:lvlText w:val="●"/>
      <w:lvlJc w:val="left"/>
      <w:pPr>
        <w:tabs>
          <w:tab w:val="num" w:pos="3960"/>
        </w:tabs>
        <w:ind w:left="3960" w:hanging="360"/>
      </w:pPr>
      <w:rPr>
        <w:rFonts w:ascii="Ericsson Hilda" w:hAnsi="Ericsson Hilda" w:hint="default"/>
      </w:rPr>
    </w:lvl>
    <w:lvl w:ilvl="6" w:tplc="EB6AF8DE" w:tentative="1">
      <w:start w:val="1"/>
      <w:numFmt w:val="bullet"/>
      <w:lvlText w:val="●"/>
      <w:lvlJc w:val="left"/>
      <w:pPr>
        <w:tabs>
          <w:tab w:val="num" w:pos="4680"/>
        </w:tabs>
        <w:ind w:left="4680" w:hanging="360"/>
      </w:pPr>
      <w:rPr>
        <w:rFonts w:ascii="Ericsson Hilda" w:hAnsi="Ericsson Hilda" w:hint="default"/>
      </w:rPr>
    </w:lvl>
    <w:lvl w:ilvl="7" w:tplc="E2580E5C" w:tentative="1">
      <w:start w:val="1"/>
      <w:numFmt w:val="bullet"/>
      <w:lvlText w:val="●"/>
      <w:lvlJc w:val="left"/>
      <w:pPr>
        <w:tabs>
          <w:tab w:val="num" w:pos="5400"/>
        </w:tabs>
        <w:ind w:left="5400" w:hanging="360"/>
      </w:pPr>
      <w:rPr>
        <w:rFonts w:ascii="Ericsson Hilda" w:hAnsi="Ericsson Hilda" w:hint="default"/>
      </w:rPr>
    </w:lvl>
    <w:lvl w:ilvl="8" w:tplc="4CE8E80C"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05C46036"/>
    <w:multiLevelType w:val="hybridMultilevel"/>
    <w:tmpl w:val="C96CDE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612420"/>
    <w:multiLevelType w:val="hybridMultilevel"/>
    <w:tmpl w:val="0CDE01BE"/>
    <w:lvl w:ilvl="0" w:tplc="34620776">
      <w:start w:val="1"/>
      <w:numFmt w:val="bullet"/>
      <w:lvlText w:val="●"/>
      <w:lvlJc w:val="left"/>
      <w:pPr>
        <w:tabs>
          <w:tab w:val="num" w:pos="720"/>
        </w:tabs>
        <w:ind w:left="720" w:hanging="360"/>
      </w:pPr>
      <w:rPr>
        <w:rFonts w:ascii="Ericsson Hilda" w:hAnsi="Ericsson Hilda" w:hint="default"/>
      </w:rPr>
    </w:lvl>
    <w:lvl w:ilvl="1" w:tplc="7366733C">
      <w:numFmt w:val="bullet"/>
      <w:lvlText w:val="–"/>
      <w:lvlJc w:val="left"/>
      <w:pPr>
        <w:tabs>
          <w:tab w:val="num" w:pos="1440"/>
        </w:tabs>
        <w:ind w:left="1440" w:hanging="360"/>
      </w:pPr>
      <w:rPr>
        <w:rFonts w:ascii="Ericsson Hilda" w:hAnsi="Ericsson Hilda" w:hint="default"/>
      </w:rPr>
    </w:lvl>
    <w:lvl w:ilvl="2" w:tplc="3A22ADEE" w:tentative="1">
      <w:start w:val="1"/>
      <w:numFmt w:val="bullet"/>
      <w:lvlText w:val="●"/>
      <w:lvlJc w:val="left"/>
      <w:pPr>
        <w:tabs>
          <w:tab w:val="num" w:pos="2160"/>
        </w:tabs>
        <w:ind w:left="2160" w:hanging="360"/>
      </w:pPr>
      <w:rPr>
        <w:rFonts w:ascii="Ericsson Hilda" w:hAnsi="Ericsson Hilda" w:hint="default"/>
      </w:rPr>
    </w:lvl>
    <w:lvl w:ilvl="3" w:tplc="1C704CC6" w:tentative="1">
      <w:start w:val="1"/>
      <w:numFmt w:val="bullet"/>
      <w:lvlText w:val="●"/>
      <w:lvlJc w:val="left"/>
      <w:pPr>
        <w:tabs>
          <w:tab w:val="num" w:pos="2880"/>
        </w:tabs>
        <w:ind w:left="2880" w:hanging="360"/>
      </w:pPr>
      <w:rPr>
        <w:rFonts w:ascii="Ericsson Hilda" w:hAnsi="Ericsson Hilda" w:hint="default"/>
      </w:rPr>
    </w:lvl>
    <w:lvl w:ilvl="4" w:tplc="CCC8AB8A" w:tentative="1">
      <w:start w:val="1"/>
      <w:numFmt w:val="bullet"/>
      <w:lvlText w:val="●"/>
      <w:lvlJc w:val="left"/>
      <w:pPr>
        <w:tabs>
          <w:tab w:val="num" w:pos="3600"/>
        </w:tabs>
        <w:ind w:left="3600" w:hanging="360"/>
      </w:pPr>
      <w:rPr>
        <w:rFonts w:ascii="Ericsson Hilda" w:hAnsi="Ericsson Hilda" w:hint="default"/>
      </w:rPr>
    </w:lvl>
    <w:lvl w:ilvl="5" w:tplc="78721140" w:tentative="1">
      <w:start w:val="1"/>
      <w:numFmt w:val="bullet"/>
      <w:lvlText w:val="●"/>
      <w:lvlJc w:val="left"/>
      <w:pPr>
        <w:tabs>
          <w:tab w:val="num" w:pos="4320"/>
        </w:tabs>
        <w:ind w:left="4320" w:hanging="360"/>
      </w:pPr>
      <w:rPr>
        <w:rFonts w:ascii="Ericsson Hilda" w:hAnsi="Ericsson Hilda" w:hint="default"/>
      </w:rPr>
    </w:lvl>
    <w:lvl w:ilvl="6" w:tplc="154C89BA" w:tentative="1">
      <w:start w:val="1"/>
      <w:numFmt w:val="bullet"/>
      <w:lvlText w:val="●"/>
      <w:lvlJc w:val="left"/>
      <w:pPr>
        <w:tabs>
          <w:tab w:val="num" w:pos="5040"/>
        </w:tabs>
        <w:ind w:left="5040" w:hanging="360"/>
      </w:pPr>
      <w:rPr>
        <w:rFonts w:ascii="Ericsson Hilda" w:hAnsi="Ericsson Hilda" w:hint="default"/>
      </w:rPr>
    </w:lvl>
    <w:lvl w:ilvl="7" w:tplc="4DEE2A60" w:tentative="1">
      <w:start w:val="1"/>
      <w:numFmt w:val="bullet"/>
      <w:lvlText w:val="●"/>
      <w:lvlJc w:val="left"/>
      <w:pPr>
        <w:tabs>
          <w:tab w:val="num" w:pos="5760"/>
        </w:tabs>
        <w:ind w:left="5760" w:hanging="360"/>
      </w:pPr>
      <w:rPr>
        <w:rFonts w:ascii="Ericsson Hilda" w:hAnsi="Ericsson Hilda" w:hint="default"/>
      </w:rPr>
    </w:lvl>
    <w:lvl w:ilvl="8" w:tplc="0604200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D4702D0"/>
    <w:multiLevelType w:val="hybridMultilevel"/>
    <w:tmpl w:val="069CE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D436C"/>
    <w:multiLevelType w:val="hybridMultilevel"/>
    <w:tmpl w:val="B4522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D939DE"/>
    <w:multiLevelType w:val="hybridMultilevel"/>
    <w:tmpl w:val="91D881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2475548"/>
    <w:multiLevelType w:val="hybridMultilevel"/>
    <w:tmpl w:val="CA2A4586"/>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C11F6"/>
    <w:multiLevelType w:val="hybridMultilevel"/>
    <w:tmpl w:val="990CC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B51A7C"/>
    <w:multiLevelType w:val="hybridMultilevel"/>
    <w:tmpl w:val="96C0E1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4E957C9"/>
    <w:multiLevelType w:val="hybridMultilevel"/>
    <w:tmpl w:val="2A58F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486988"/>
    <w:multiLevelType w:val="hybridMultilevel"/>
    <w:tmpl w:val="C360ACDA"/>
    <w:lvl w:ilvl="0" w:tplc="B9884F7E">
      <w:start w:val="1"/>
      <w:numFmt w:val="bullet"/>
      <w:lvlText w:val="–"/>
      <w:lvlJc w:val="left"/>
      <w:pPr>
        <w:tabs>
          <w:tab w:val="num" w:pos="360"/>
        </w:tabs>
        <w:ind w:left="360" w:hanging="360"/>
      </w:pPr>
      <w:rPr>
        <w:rFonts w:ascii="Ericsson Hilda" w:hAnsi="Ericsson Hilda" w:hint="default"/>
      </w:rPr>
    </w:lvl>
    <w:lvl w:ilvl="1" w:tplc="097293CC">
      <w:start w:val="1"/>
      <w:numFmt w:val="bullet"/>
      <w:lvlText w:val="–"/>
      <w:lvlJc w:val="left"/>
      <w:pPr>
        <w:tabs>
          <w:tab w:val="num" w:pos="1080"/>
        </w:tabs>
        <w:ind w:left="1080" w:hanging="360"/>
      </w:pPr>
      <w:rPr>
        <w:rFonts w:ascii="Ericsson Hilda" w:hAnsi="Ericsson Hilda" w:hint="default"/>
      </w:rPr>
    </w:lvl>
    <w:lvl w:ilvl="2" w:tplc="7F30B27A" w:tentative="1">
      <w:start w:val="1"/>
      <w:numFmt w:val="bullet"/>
      <w:lvlText w:val="–"/>
      <w:lvlJc w:val="left"/>
      <w:pPr>
        <w:tabs>
          <w:tab w:val="num" w:pos="1800"/>
        </w:tabs>
        <w:ind w:left="1800" w:hanging="360"/>
      </w:pPr>
      <w:rPr>
        <w:rFonts w:ascii="Ericsson Hilda" w:hAnsi="Ericsson Hilda" w:hint="default"/>
      </w:rPr>
    </w:lvl>
    <w:lvl w:ilvl="3" w:tplc="97AE8022" w:tentative="1">
      <w:start w:val="1"/>
      <w:numFmt w:val="bullet"/>
      <w:lvlText w:val="–"/>
      <w:lvlJc w:val="left"/>
      <w:pPr>
        <w:tabs>
          <w:tab w:val="num" w:pos="2520"/>
        </w:tabs>
        <w:ind w:left="2520" w:hanging="360"/>
      </w:pPr>
      <w:rPr>
        <w:rFonts w:ascii="Ericsson Hilda" w:hAnsi="Ericsson Hilda" w:hint="default"/>
      </w:rPr>
    </w:lvl>
    <w:lvl w:ilvl="4" w:tplc="2684230A" w:tentative="1">
      <w:start w:val="1"/>
      <w:numFmt w:val="bullet"/>
      <w:lvlText w:val="–"/>
      <w:lvlJc w:val="left"/>
      <w:pPr>
        <w:tabs>
          <w:tab w:val="num" w:pos="3240"/>
        </w:tabs>
        <w:ind w:left="3240" w:hanging="360"/>
      </w:pPr>
      <w:rPr>
        <w:rFonts w:ascii="Ericsson Hilda" w:hAnsi="Ericsson Hilda" w:hint="default"/>
      </w:rPr>
    </w:lvl>
    <w:lvl w:ilvl="5" w:tplc="9214ABFC" w:tentative="1">
      <w:start w:val="1"/>
      <w:numFmt w:val="bullet"/>
      <w:lvlText w:val="–"/>
      <w:lvlJc w:val="left"/>
      <w:pPr>
        <w:tabs>
          <w:tab w:val="num" w:pos="3960"/>
        </w:tabs>
        <w:ind w:left="3960" w:hanging="360"/>
      </w:pPr>
      <w:rPr>
        <w:rFonts w:ascii="Ericsson Hilda" w:hAnsi="Ericsson Hilda" w:hint="default"/>
      </w:rPr>
    </w:lvl>
    <w:lvl w:ilvl="6" w:tplc="5E987BA8" w:tentative="1">
      <w:start w:val="1"/>
      <w:numFmt w:val="bullet"/>
      <w:lvlText w:val="–"/>
      <w:lvlJc w:val="left"/>
      <w:pPr>
        <w:tabs>
          <w:tab w:val="num" w:pos="4680"/>
        </w:tabs>
        <w:ind w:left="4680" w:hanging="360"/>
      </w:pPr>
      <w:rPr>
        <w:rFonts w:ascii="Ericsson Hilda" w:hAnsi="Ericsson Hilda" w:hint="default"/>
      </w:rPr>
    </w:lvl>
    <w:lvl w:ilvl="7" w:tplc="3B8617F6" w:tentative="1">
      <w:start w:val="1"/>
      <w:numFmt w:val="bullet"/>
      <w:lvlText w:val="–"/>
      <w:lvlJc w:val="left"/>
      <w:pPr>
        <w:tabs>
          <w:tab w:val="num" w:pos="5400"/>
        </w:tabs>
        <w:ind w:left="5400" w:hanging="360"/>
      </w:pPr>
      <w:rPr>
        <w:rFonts w:ascii="Ericsson Hilda" w:hAnsi="Ericsson Hilda" w:hint="default"/>
      </w:rPr>
    </w:lvl>
    <w:lvl w:ilvl="8" w:tplc="A1F22D32"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203263D6"/>
    <w:multiLevelType w:val="hybridMultilevel"/>
    <w:tmpl w:val="85465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23338AB"/>
    <w:multiLevelType w:val="hybridMultilevel"/>
    <w:tmpl w:val="7FE87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4C72A18"/>
    <w:multiLevelType w:val="hybridMultilevel"/>
    <w:tmpl w:val="78446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E29639DA">
      <w:numFmt w:val="bullet"/>
      <w:lvlText w:val="-"/>
      <w:lvlJc w:val="left"/>
      <w:pPr>
        <w:ind w:left="4320" w:hanging="360"/>
      </w:pPr>
      <w:rPr>
        <w:rFonts w:ascii="Ericsson Hilda" w:eastAsiaTheme="minorHAnsi" w:hAnsi="Ericsson Hilda" w:cs="Verdana"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C2D6E55"/>
    <w:multiLevelType w:val="hybridMultilevel"/>
    <w:tmpl w:val="10EA4CEC"/>
    <w:lvl w:ilvl="0" w:tplc="8B14201E">
      <w:start w:val="1"/>
      <w:numFmt w:val="bullet"/>
      <w:lvlText w:val="●"/>
      <w:lvlJc w:val="left"/>
      <w:pPr>
        <w:tabs>
          <w:tab w:val="num" w:pos="720"/>
        </w:tabs>
        <w:ind w:left="720" w:hanging="360"/>
      </w:pPr>
      <w:rPr>
        <w:rFonts w:ascii="Ericsson Hilda" w:hAnsi="Ericsson Hilda" w:hint="default"/>
      </w:rPr>
    </w:lvl>
    <w:lvl w:ilvl="1" w:tplc="74CE9686">
      <w:numFmt w:val="bullet"/>
      <w:lvlText w:val="–"/>
      <w:lvlJc w:val="left"/>
      <w:pPr>
        <w:tabs>
          <w:tab w:val="num" w:pos="1440"/>
        </w:tabs>
        <w:ind w:left="1440" w:hanging="360"/>
      </w:pPr>
      <w:rPr>
        <w:rFonts w:ascii="Ericsson Hilda" w:hAnsi="Ericsson Hilda" w:hint="default"/>
      </w:rPr>
    </w:lvl>
    <w:lvl w:ilvl="2" w:tplc="0A6C28F6">
      <w:numFmt w:val="bullet"/>
      <w:lvlText w:val="●"/>
      <w:lvlJc w:val="left"/>
      <w:pPr>
        <w:tabs>
          <w:tab w:val="num" w:pos="2160"/>
        </w:tabs>
        <w:ind w:left="2160" w:hanging="360"/>
      </w:pPr>
      <w:rPr>
        <w:rFonts w:ascii="Ericsson Hilda" w:hAnsi="Ericsson Hilda" w:hint="default"/>
      </w:rPr>
    </w:lvl>
    <w:lvl w:ilvl="3" w:tplc="CEC4E04A">
      <w:numFmt w:val="bullet"/>
      <w:lvlText w:val="–"/>
      <w:lvlJc w:val="left"/>
      <w:pPr>
        <w:tabs>
          <w:tab w:val="num" w:pos="2880"/>
        </w:tabs>
        <w:ind w:left="2880" w:hanging="360"/>
      </w:pPr>
      <w:rPr>
        <w:rFonts w:ascii="Ericsson Hilda" w:hAnsi="Ericsson Hilda" w:hint="default"/>
      </w:rPr>
    </w:lvl>
    <w:lvl w:ilvl="4" w:tplc="1DD4AC0A" w:tentative="1">
      <w:start w:val="1"/>
      <w:numFmt w:val="bullet"/>
      <w:lvlText w:val="●"/>
      <w:lvlJc w:val="left"/>
      <w:pPr>
        <w:tabs>
          <w:tab w:val="num" w:pos="3600"/>
        </w:tabs>
        <w:ind w:left="3600" w:hanging="360"/>
      </w:pPr>
      <w:rPr>
        <w:rFonts w:ascii="Ericsson Hilda" w:hAnsi="Ericsson Hilda" w:hint="default"/>
      </w:rPr>
    </w:lvl>
    <w:lvl w:ilvl="5" w:tplc="A9AA7ACC" w:tentative="1">
      <w:start w:val="1"/>
      <w:numFmt w:val="bullet"/>
      <w:lvlText w:val="●"/>
      <w:lvlJc w:val="left"/>
      <w:pPr>
        <w:tabs>
          <w:tab w:val="num" w:pos="4320"/>
        </w:tabs>
        <w:ind w:left="4320" w:hanging="360"/>
      </w:pPr>
      <w:rPr>
        <w:rFonts w:ascii="Ericsson Hilda" w:hAnsi="Ericsson Hilda" w:hint="default"/>
      </w:rPr>
    </w:lvl>
    <w:lvl w:ilvl="6" w:tplc="88B897BE" w:tentative="1">
      <w:start w:val="1"/>
      <w:numFmt w:val="bullet"/>
      <w:lvlText w:val="●"/>
      <w:lvlJc w:val="left"/>
      <w:pPr>
        <w:tabs>
          <w:tab w:val="num" w:pos="5040"/>
        </w:tabs>
        <w:ind w:left="5040" w:hanging="360"/>
      </w:pPr>
      <w:rPr>
        <w:rFonts w:ascii="Ericsson Hilda" w:hAnsi="Ericsson Hilda" w:hint="default"/>
      </w:rPr>
    </w:lvl>
    <w:lvl w:ilvl="7" w:tplc="C17A0C4A" w:tentative="1">
      <w:start w:val="1"/>
      <w:numFmt w:val="bullet"/>
      <w:lvlText w:val="●"/>
      <w:lvlJc w:val="left"/>
      <w:pPr>
        <w:tabs>
          <w:tab w:val="num" w:pos="5760"/>
        </w:tabs>
        <w:ind w:left="5760" w:hanging="360"/>
      </w:pPr>
      <w:rPr>
        <w:rFonts w:ascii="Ericsson Hilda" w:hAnsi="Ericsson Hilda" w:hint="default"/>
      </w:rPr>
    </w:lvl>
    <w:lvl w:ilvl="8" w:tplc="E4343ABE"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2D7340B3"/>
    <w:multiLevelType w:val="hybridMultilevel"/>
    <w:tmpl w:val="C0C6E71E"/>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A593A"/>
    <w:multiLevelType w:val="hybridMultilevel"/>
    <w:tmpl w:val="BA8C2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883BA4"/>
    <w:multiLevelType w:val="multilevel"/>
    <w:tmpl w:val="CB5ABE60"/>
    <w:lvl w:ilvl="0">
      <w:start w:val="1"/>
      <w:numFmt w:val="decimal"/>
      <w:lvlText w:val="%1."/>
      <w:lvlJc w:val="left"/>
      <w:pPr>
        <w:ind w:left="720" w:hanging="360"/>
      </w:pPr>
      <w:rPr>
        <w:rFonts w:hint="default"/>
      </w:rPr>
    </w:lvl>
    <w:lvl w:ilvl="1">
      <w:start w:val="1"/>
      <w:numFmt w:val="decimal"/>
      <w:isLgl/>
      <w:lvlText w:val="%1.%2"/>
      <w:lvlJc w:val="left"/>
      <w:pPr>
        <w:ind w:left="1580" w:hanging="1220"/>
      </w:pPr>
      <w:rPr>
        <w:rFonts w:hint="default"/>
      </w:rPr>
    </w:lvl>
    <w:lvl w:ilvl="2">
      <w:start w:val="1"/>
      <w:numFmt w:val="decimal"/>
      <w:isLgl/>
      <w:lvlText w:val="%1.%2.%3"/>
      <w:lvlJc w:val="left"/>
      <w:pPr>
        <w:ind w:left="1580" w:hanging="1220"/>
      </w:pPr>
      <w:rPr>
        <w:rFonts w:hint="default"/>
      </w:rPr>
    </w:lvl>
    <w:lvl w:ilvl="3">
      <w:start w:val="1"/>
      <w:numFmt w:val="decimal"/>
      <w:isLgl/>
      <w:lvlText w:val="%1.%2.%3.%4"/>
      <w:lvlJc w:val="left"/>
      <w:pPr>
        <w:ind w:left="1580" w:hanging="1220"/>
      </w:pPr>
      <w:rPr>
        <w:rFonts w:hint="default"/>
      </w:rPr>
    </w:lvl>
    <w:lvl w:ilvl="4">
      <w:start w:val="1"/>
      <w:numFmt w:val="decimal"/>
      <w:isLgl/>
      <w:lvlText w:val="%1.%2.%3.%4.%5"/>
      <w:lvlJc w:val="left"/>
      <w:pPr>
        <w:ind w:left="1580" w:hanging="1220"/>
      </w:pPr>
      <w:rPr>
        <w:rFonts w:hint="default"/>
      </w:rPr>
    </w:lvl>
    <w:lvl w:ilvl="5">
      <w:start w:val="1"/>
      <w:numFmt w:val="decimal"/>
      <w:isLgl/>
      <w:lvlText w:val="%1.%2.%3.%4.%5.%6"/>
      <w:lvlJc w:val="left"/>
      <w:pPr>
        <w:ind w:left="1580" w:hanging="122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4A37C92"/>
    <w:multiLevelType w:val="multilevel"/>
    <w:tmpl w:val="81704614"/>
    <w:lvl w:ilvl="0">
      <w:start w:val="3"/>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35" w15:restartNumberingAfterBreak="0">
    <w:nsid w:val="3AA46647"/>
    <w:multiLevelType w:val="hybridMultilevel"/>
    <w:tmpl w:val="C39CED06"/>
    <w:lvl w:ilvl="0" w:tplc="3A9843B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D9830DF"/>
    <w:multiLevelType w:val="hybridMultilevel"/>
    <w:tmpl w:val="2BDCEE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F2A70FC"/>
    <w:multiLevelType w:val="hybridMultilevel"/>
    <w:tmpl w:val="912EF37A"/>
    <w:lvl w:ilvl="0" w:tplc="42669CB8">
      <w:start w:val="1"/>
      <w:numFmt w:val="bullet"/>
      <w:lvlText w:val="●"/>
      <w:lvlJc w:val="left"/>
      <w:pPr>
        <w:tabs>
          <w:tab w:val="num" w:pos="720"/>
        </w:tabs>
        <w:ind w:left="720" w:hanging="360"/>
      </w:pPr>
      <w:rPr>
        <w:rFonts w:ascii="Ericsson Hilda" w:hAnsi="Ericsson Hilda" w:hint="default"/>
      </w:rPr>
    </w:lvl>
    <w:lvl w:ilvl="1" w:tplc="BD1C71D6" w:tentative="1">
      <w:start w:val="1"/>
      <w:numFmt w:val="bullet"/>
      <w:lvlText w:val="●"/>
      <w:lvlJc w:val="left"/>
      <w:pPr>
        <w:tabs>
          <w:tab w:val="num" w:pos="1440"/>
        </w:tabs>
        <w:ind w:left="1440" w:hanging="360"/>
      </w:pPr>
      <w:rPr>
        <w:rFonts w:ascii="Ericsson Hilda" w:hAnsi="Ericsson Hilda" w:hint="default"/>
      </w:rPr>
    </w:lvl>
    <w:lvl w:ilvl="2" w:tplc="A5263920" w:tentative="1">
      <w:start w:val="1"/>
      <w:numFmt w:val="bullet"/>
      <w:lvlText w:val="●"/>
      <w:lvlJc w:val="left"/>
      <w:pPr>
        <w:tabs>
          <w:tab w:val="num" w:pos="2160"/>
        </w:tabs>
        <w:ind w:left="2160" w:hanging="360"/>
      </w:pPr>
      <w:rPr>
        <w:rFonts w:ascii="Ericsson Hilda" w:hAnsi="Ericsson Hilda" w:hint="default"/>
      </w:rPr>
    </w:lvl>
    <w:lvl w:ilvl="3" w:tplc="CF14C4EE" w:tentative="1">
      <w:start w:val="1"/>
      <w:numFmt w:val="bullet"/>
      <w:lvlText w:val="●"/>
      <w:lvlJc w:val="left"/>
      <w:pPr>
        <w:tabs>
          <w:tab w:val="num" w:pos="2880"/>
        </w:tabs>
        <w:ind w:left="2880" w:hanging="360"/>
      </w:pPr>
      <w:rPr>
        <w:rFonts w:ascii="Ericsson Hilda" w:hAnsi="Ericsson Hilda" w:hint="default"/>
      </w:rPr>
    </w:lvl>
    <w:lvl w:ilvl="4" w:tplc="99224644" w:tentative="1">
      <w:start w:val="1"/>
      <w:numFmt w:val="bullet"/>
      <w:lvlText w:val="●"/>
      <w:lvlJc w:val="left"/>
      <w:pPr>
        <w:tabs>
          <w:tab w:val="num" w:pos="3600"/>
        </w:tabs>
        <w:ind w:left="3600" w:hanging="360"/>
      </w:pPr>
      <w:rPr>
        <w:rFonts w:ascii="Ericsson Hilda" w:hAnsi="Ericsson Hilda" w:hint="default"/>
      </w:rPr>
    </w:lvl>
    <w:lvl w:ilvl="5" w:tplc="160C3A7C" w:tentative="1">
      <w:start w:val="1"/>
      <w:numFmt w:val="bullet"/>
      <w:lvlText w:val="●"/>
      <w:lvlJc w:val="left"/>
      <w:pPr>
        <w:tabs>
          <w:tab w:val="num" w:pos="4320"/>
        </w:tabs>
        <w:ind w:left="4320" w:hanging="360"/>
      </w:pPr>
      <w:rPr>
        <w:rFonts w:ascii="Ericsson Hilda" w:hAnsi="Ericsson Hilda" w:hint="default"/>
      </w:rPr>
    </w:lvl>
    <w:lvl w:ilvl="6" w:tplc="350A16D6" w:tentative="1">
      <w:start w:val="1"/>
      <w:numFmt w:val="bullet"/>
      <w:lvlText w:val="●"/>
      <w:lvlJc w:val="left"/>
      <w:pPr>
        <w:tabs>
          <w:tab w:val="num" w:pos="5040"/>
        </w:tabs>
        <w:ind w:left="5040" w:hanging="360"/>
      </w:pPr>
      <w:rPr>
        <w:rFonts w:ascii="Ericsson Hilda" w:hAnsi="Ericsson Hilda" w:hint="default"/>
      </w:rPr>
    </w:lvl>
    <w:lvl w:ilvl="7" w:tplc="84A0512A" w:tentative="1">
      <w:start w:val="1"/>
      <w:numFmt w:val="bullet"/>
      <w:lvlText w:val="●"/>
      <w:lvlJc w:val="left"/>
      <w:pPr>
        <w:tabs>
          <w:tab w:val="num" w:pos="5760"/>
        </w:tabs>
        <w:ind w:left="5760" w:hanging="360"/>
      </w:pPr>
      <w:rPr>
        <w:rFonts w:ascii="Ericsson Hilda" w:hAnsi="Ericsson Hilda" w:hint="default"/>
      </w:rPr>
    </w:lvl>
    <w:lvl w:ilvl="8" w:tplc="1E948B4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F40325B"/>
    <w:multiLevelType w:val="hybridMultilevel"/>
    <w:tmpl w:val="30F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566FF2"/>
    <w:multiLevelType w:val="hybridMultilevel"/>
    <w:tmpl w:val="6FE08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7CB047D"/>
    <w:multiLevelType w:val="hybridMultilevel"/>
    <w:tmpl w:val="C79EA0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E5A0B7C"/>
    <w:multiLevelType w:val="hybridMultilevel"/>
    <w:tmpl w:val="A39624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5101505E"/>
    <w:multiLevelType w:val="hybridMultilevel"/>
    <w:tmpl w:val="C2DE3A2C"/>
    <w:lvl w:ilvl="0" w:tplc="2EF287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992491"/>
    <w:multiLevelType w:val="hybridMultilevel"/>
    <w:tmpl w:val="EEB07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E342ED5"/>
    <w:multiLevelType w:val="hybridMultilevel"/>
    <w:tmpl w:val="700AAF26"/>
    <w:lvl w:ilvl="0" w:tplc="73E0CDE6">
      <w:start w:val="2"/>
      <w:numFmt w:val="decimal"/>
      <w:lvlText w:val="%1"/>
      <w:lvlJc w:val="left"/>
      <w:pPr>
        <w:ind w:left="720" w:hanging="360"/>
      </w:pPr>
      <w:rPr>
        <w:rFonts w:eastAsiaTheme="minorHAnsi" w:cstheme="minorBidi"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E9D0665"/>
    <w:multiLevelType w:val="hybridMultilevel"/>
    <w:tmpl w:val="0D46B39A"/>
    <w:lvl w:ilvl="0" w:tplc="C6E6F844">
      <w:start w:val="1"/>
      <w:numFmt w:val="bullet"/>
      <w:lvlText w:val="●"/>
      <w:lvlJc w:val="left"/>
      <w:pPr>
        <w:tabs>
          <w:tab w:val="num" w:pos="720"/>
        </w:tabs>
        <w:ind w:left="720" w:hanging="360"/>
      </w:pPr>
      <w:rPr>
        <w:rFonts w:ascii="Ericsson Hilda" w:hAnsi="Ericsson Hilda" w:hint="default"/>
      </w:rPr>
    </w:lvl>
    <w:lvl w:ilvl="1" w:tplc="FCA018F8" w:tentative="1">
      <w:start w:val="1"/>
      <w:numFmt w:val="bullet"/>
      <w:lvlText w:val="●"/>
      <w:lvlJc w:val="left"/>
      <w:pPr>
        <w:tabs>
          <w:tab w:val="num" w:pos="1440"/>
        </w:tabs>
        <w:ind w:left="1440" w:hanging="360"/>
      </w:pPr>
      <w:rPr>
        <w:rFonts w:ascii="Ericsson Hilda" w:hAnsi="Ericsson Hilda" w:hint="default"/>
      </w:rPr>
    </w:lvl>
    <w:lvl w:ilvl="2" w:tplc="5B1CB5FA" w:tentative="1">
      <w:start w:val="1"/>
      <w:numFmt w:val="bullet"/>
      <w:lvlText w:val="●"/>
      <w:lvlJc w:val="left"/>
      <w:pPr>
        <w:tabs>
          <w:tab w:val="num" w:pos="2160"/>
        </w:tabs>
        <w:ind w:left="2160" w:hanging="360"/>
      </w:pPr>
      <w:rPr>
        <w:rFonts w:ascii="Ericsson Hilda" w:hAnsi="Ericsson Hilda" w:hint="default"/>
      </w:rPr>
    </w:lvl>
    <w:lvl w:ilvl="3" w:tplc="E5021176" w:tentative="1">
      <w:start w:val="1"/>
      <w:numFmt w:val="bullet"/>
      <w:lvlText w:val="●"/>
      <w:lvlJc w:val="left"/>
      <w:pPr>
        <w:tabs>
          <w:tab w:val="num" w:pos="2880"/>
        </w:tabs>
        <w:ind w:left="2880" w:hanging="360"/>
      </w:pPr>
      <w:rPr>
        <w:rFonts w:ascii="Ericsson Hilda" w:hAnsi="Ericsson Hilda" w:hint="default"/>
      </w:rPr>
    </w:lvl>
    <w:lvl w:ilvl="4" w:tplc="316A1D5A" w:tentative="1">
      <w:start w:val="1"/>
      <w:numFmt w:val="bullet"/>
      <w:lvlText w:val="●"/>
      <w:lvlJc w:val="left"/>
      <w:pPr>
        <w:tabs>
          <w:tab w:val="num" w:pos="3600"/>
        </w:tabs>
        <w:ind w:left="3600" w:hanging="360"/>
      </w:pPr>
      <w:rPr>
        <w:rFonts w:ascii="Ericsson Hilda" w:hAnsi="Ericsson Hilda" w:hint="default"/>
      </w:rPr>
    </w:lvl>
    <w:lvl w:ilvl="5" w:tplc="4D44A268" w:tentative="1">
      <w:start w:val="1"/>
      <w:numFmt w:val="bullet"/>
      <w:lvlText w:val="●"/>
      <w:lvlJc w:val="left"/>
      <w:pPr>
        <w:tabs>
          <w:tab w:val="num" w:pos="4320"/>
        </w:tabs>
        <w:ind w:left="4320" w:hanging="360"/>
      </w:pPr>
      <w:rPr>
        <w:rFonts w:ascii="Ericsson Hilda" w:hAnsi="Ericsson Hilda" w:hint="default"/>
      </w:rPr>
    </w:lvl>
    <w:lvl w:ilvl="6" w:tplc="1BF4A6C0" w:tentative="1">
      <w:start w:val="1"/>
      <w:numFmt w:val="bullet"/>
      <w:lvlText w:val="●"/>
      <w:lvlJc w:val="left"/>
      <w:pPr>
        <w:tabs>
          <w:tab w:val="num" w:pos="5040"/>
        </w:tabs>
        <w:ind w:left="5040" w:hanging="360"/>
      </w:pPr>
      <w:rPr>
        <w:rFonts w:ascii="Ericsson Hilda" w:hAnsi="Ericsson Hilda" w:hint="default"/>
      </w:rPr>
    </w:lvl>
    <w:lvl w:ilvl="7" w:tplc="846220FE" w:tentative="1">
      <w:start w:val="1"/>
      <w:numFmt w:val="bullet"/>
      <w:lvlText w:val="●"/>
      <w:lvlJc w:val="left"/>
      <w:pPr>
        <w:tabs>
          <w:tab w:val="num" w:pos="5760"/>
        </w:tabs>
        <w:ind w:left="5760" w:hanging="360"/>
      </w:pPr>
      <w:rPr>
        <w:rFonts w:ascii="Ericsson Hilda" w:hAnsi="Ericsson Hilda" w:hint="default"/>
      </w:rPr>
    </w:lvl>
    <w:lvl w:ilvl="8" w:tplc="3AEE35F4"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5FDF357E"/>
    <w:multiLevelType w:val="hybridMultilevel"/>
    <w:tmpl w:val="3B3032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647F1BB9"/>
    <w:multiLevelType w:val="hybridMultilevel"/>
    <w:tmpl w:val="B1B05406"/>
    <w:lvl w:ilvl="0" w:tplc="22B0FDDE">
      <w:numFmt w:val="bullet"/>
      <w:lvlText w:val="-"/>
      <w:lvlJc w:val="left"/>
      <w:pPr>
        <w:ind w:left="720" w:hanging="360"/>
      </w:pPr>
      <w:rPr>
        <w:rFonts w:ascii="Arial" w:eastAsiaTheme="minorHAnsi" w:hAnsi="Aria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FB445F"/>
    <w:multiLevelType w:val="hybridMultilevel"/>
    <w:tmpl w:val="6852B1F4"/>
    <w:lvl w:ilvl="0" w:tplc="5D34EE44">
      <w:start w:val="1"/>
      <w:numFmt w:val="bullet"/>
      <w:lvlText w:val="●"/>
      <w:lvlJc w:val="left"/>
      <w:pPr>
        <w:tabs>
          <w:tab w:val="num" w:pos="720"/>
        </w:tabs>
        <w:ind w:left="720" w:hanging="360"/>
      </w:pPr>
      <w:rPr>
        <w:rFonts w:ascii="Ericsson Hilda" w:hAnsi="Ericsson Hilda" w:hint="default"/>
      </w:rPr>
    </w:lvl>
    <w:lvl w:ilvl="1" w:tplc="2A82155C" w:tentative="1">
      <w:start w:val="1"/>
      <w:numFmt w:val="bullet"/>
      <w:lvlText w:val="●"/>
      <w:lvlJc w:val="left"/>
      <w:pPr>
        <w:tabs>
          <w:tab w:val="num" w:pos="1440"/>
        </w:tabs>
        <w:ind w:left="1440" w:hanging="360"/>
      </w:pPr>
      <w:rPr>
        <w:rFonts w:ascii="Ericsson Hilda" w:hAnsi="Ericsson Hilda" w:hint="default"/>
      </w:rPr>
    </w:lvl>
    <w:lvl w:ilvl="2" w:tplc="CE68F9B8" w:tentative="1">
      <w:start w:val="1"/>
      <w:numFmt w:val="bullet"/>
      <w:lvlText w:val="●"/>
      <w:lvlJc w:val="left"/>
      <w:pPr>
        <w:tabs>
          <w:tab w:val="num" w:pos="2160"/>
        </w:tabs>
        <w:ind w:left="2160" w:hanging="360"/>
      </w:pPr>
      <w:rPr>
        <w:rFonts w:ascii="Ericsson Hilda" w:hAnsi="Ericsson Hilda" w:hint="default"/>
      </w:rPr>
    </w:lvl>
    <w:lvl w:ilvl="3" w:tplc="B05A1006" w:tentative="1">
      <w:start w:val="1"/>
      <w:numFmt w:val="bullet"/>
      <w:lvlText w:val="●"/>
      <w:lvlJc w:val="left"/>
      <w:pPr>
        <w:tabs>
          <w:tab w:val="num" w:pos="2880"/>
        </w:tabs>
        <w:ind w:left="2880" w:hanging="360"/>
      </w:pPr>
      <w:rPr>
        <w:rFonts w:ascii="Ericsson Hilda" w:hAnsi="Ericsson Hilda" w:hint="default"/>
      </w:rPr>
    </w:lvl>
    <w:lvl w:ilvl="4" w:tplc="3D3CB536" w:tentative="1">
      <w:start w:val="1"/>
      <w:numFmt w:val="bullet"/>
      <w:lvlText w:val="●"/>
      <w:lvlJc w:val="left"/>
      <w:pPr>
        <w:tabs>
          <w:tab w:val="num" w:pos="3600"/>
        </w:tabs>
        <w:ind w:left="3600" w:hanging="360"/>
      </w:pPr>
      <w:rPr>
        <w:rFonts w:ascii="Ericsson Hilda" w:hAnsi="Ericsson Hilda" w:hint="default"/>
      </w:rPr>
    </w:lvl>
    <w:lvl w:ilvl="5" w:tplc="5A7EF0C8" w:tentative="1">
      <w:start w:val="1"/>
      <w:numFmt w:val="bullet"/>
      <w:lvlText w:val="●"/>
      <w:lvlJc w:val="left"/>
      <w:pPr>
        <w:tabs>
          <w:tab w:val="num" w:pos="4320"/>
        </w:tabs>
        <w:ind w:left="4320" w:hanging="360"/>
      </w:pPr>
      <w:rPr>
        <w:rFonts w:ascii="Ericsson Hilda" w:hAnsi="Ericsson Hilda" w:hint="default"/>
      </w:rPr>
    </w:lvl>
    <w:lvl w:ilvl="6" w:tplc="B9963AF8" w:tentative="1">
      <w:start w:val="1"/>
      <w:numFmt w:val="bullet"/>
      <w:lvlText w:val="●"/>
      <w:lvlJc w:val="left"/>
      <w:pPr>
        <w:tabs>
          <w:tab w:val="num" w:pos="5040"/>
        </w:tabs>
        <w:ind w:left="5040" w:hanging="360"/>
      </w:pPr>
      <w:rPr>
        <w:rFonts w:ascii="Ericsson Hilda" w:hAnsi="Ericsson Hilda" w:hint="default"/>
      </w:rPr>
    </w:lvl>
    <w:lvl w:ilvl="7" w:tplc="B6E86FDC" w:tentative="1">
      <w:start w:val="1"/>
      <w:numFmt w:val="bullet"/>
      <w:lvlText w:val="●"/>
      <w:lvlJc w:val="left"/>
      <w:pPr>
        <w:tabs>
          <w:tab w:val="num" w:pos="5760"/>
        </w:tabs>
        <w:ind w:left="5760" w:hanging="360"/>
      </w:pPr>
      <w:rPr>
        <w:rFonts w:ascii="Ericsson Hilda" w:hAnsi="Ericsson Hilda" w:hint="default"/>
      </w:rPr>
    </w:lvl>
    <w:lvl w:ilvl="8" w:tplc="C562F1DC" w:tentative="1">
      <w:start w:val="1"/>
      <w:numFmt w:val="bullet"/>
      <w:lvlText w:val="●"/>
      <w:lvlJc w:val="left"/>
      <w:pPr>
        <w:tabs>
          <w:tab w:val="num" w:pos="6480"/>
        </w:tabs>
        <w:ind w:left="6480" w:hanging="360"/>
      </w:pPr>
      <w:rPr>
        <w:rFonts w:ascii="Ericsson Hilda" w:hAnsi="Ericsson Hilda" w:hint="default"/>
      </w:rPr>
    </w:lvl>
  </w:abstractNum>
  <w:abstractNum w:abstractNumId="56" w15:restartNumberingAfterBreak="0">
    <w:nsid w:val="6C1E0F8D"/>
    <w:multiLevelType w:val="hybridMultilevel"/>
    <w:tmpl w:val="6DFE04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BA8327E"/>
    <w:multiLevelType w:val="hybridMultilevel"/>
    <w:tmpl w:val="B524C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FF079AF"/>
    <w:multiLevelType w:val="hybridMultilevel"/>
    <w:tmpl w:val="EEACCC14"/>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516254">
    <w:abstractNumId w:val="3"/>
  </w:num>
  <w:num w:numId="2" w16cid:durableId="180514916">
    <w:abstractNumId w:val="44"/>
  </w:num>
  <w:num w:numId="3" w16cid:durableId="683946112">
    <w:abstractNumId w:val="35"/>
  </w:num>
  <w:num w:numId="4" w16cid:durableId="1291128498">
    <w:abstractNumId w:val="36"/>
  </w:num>
  <w:num w:numId="5" w16cid:durableId="298652556">
    <w:abstractNumId w:val="30"/>
  </w:num>
  <w:num w:numId="6" w16cid:durableId="1764571911">
    <w:abstractNumId w:val="41"/>
  </w:num>
  <w:num w:numId="7" w16cid:durableId="1847861419">
    <w:abstractNumId w:val="49"/>
  </w:num>
  <w:num w:numId="8" w16cid:durableId="1376925415">
    <w:abstractNumId w:val="31"/>
  </w:num>
  <w:num w:numId="9" w16cid:durableId="205725898">
    <w:abstractNumId w:val="24"/>
  </w:num>
  <w:num w:numId="10" w16cid:durableId="1557856621">
    <w:abstractNumId w:val="2"/>
  </w:num>
  <w:num w:numId="11" w16cid:durableId="444692973">
    <w:abstractNumId w:val="1"/>
  </w:num>
  <w:num w:numId="12" w16cid:durableId="1142229548">
    <w:abstractNumId w:val="0"/>
  </w:num>
  <w:num w:numId="13" w16cid:durableId="717315046">
    <w:abstractNumId w:val="46"/>
  </w:num>
  <w:num w:numId="14" w16cid:durableId="384642613">
    <w:abstractNumId w:val="47"/>
  </w:num>
  <w:num w:numId="15" w16cid:durableId="1652324553">
    <w:abstractNumId w:val="40"/>
  </w:num>
  <w:num w:numId="16" w16cid:durableId="1527673534">
    <w:abstractNumId w:val="50"/>
  </w:num>
  <w:num w:numId="17" w16cid:durableId="884567253">
    <w:abstractNumId w:val="20"/>
  </w:num>
  <w:num w:numId="18" w16cid:durableId="2123070390">
    <w:abstractNumId w:val="23"/>
  </w:num>
  <w:num w:numId="19" w16cid:durableId="1284651715">
    <w:abstractNumId w:val="10"/>
  </w:num>
  <w:num w:numId="20" w16cid:durableId="1402481344">
    <w:abstractNumId w:val="59"/>
  </w:num>
  <w:num w:numId="21" w16cid:durableId="870607171">
    <w:abstractNumId w:val="32"/>
  </w:num>
  <w:num w:numId="22" w16cid:durableId="971448619">
    <w:abstractNumId w:val="57"/>
  </w:num>
  <w:num w:numId="23" w16cid:durableId="502359142">
    <w:abstractNumId w:val="28"/>
  </w:num>
  <w:num w:numId="24" w16cid:durableId="2072579278">
    <w:abstractNumId w:val="22"/>
  </w:num>
  <w:num w:numId="25" w16cid:durableId="2068986286">
    <w:abstractNumId w:val="60"/>
  </w:num>
  <w:num w:numId="26" w16cid:durableId="366225767">
    <w:abstractNumId w:val="27"/>
  </w:num>
  <w:num w:numId="27" w16cid:durableId="203643399">
    <w:abstractNumId w:val="12"/>
  </w:num>
  <w:num w:numId="28" w16cid:durableId="2002930923">
    <w:abstractNumId w:val="61"/>
  </w:num>
  <w:num w:numId="29" w16cid:durableId="1342927656">
    <w:abstractNumId w:val="15"/>
  </w:num>
  <w:num w:numId="30" w16cid:durableId="19209702">
    <w:abstractNumId w:val="37"/>
  </w:num>
  <w:num w:numId="31" w16cid:durableId="599945123">
    <w:abstractNumId w:val="11"/>
  </w:num>
  <w:num w:numId="32" w16cid:durableId="628895777">
    <w:abstractNumId w:val="14"/>
  </w:num>
  <w:num w:numId="33" w16cid:durableId="1944455139">
    <w:abstractNumId w:val="51"/>
  </w:num>
  <w:num w:numId="34" w16cid:durableId="1836261184">
    <w:abstractNumId w:val="18"/>
  </w:num>
  <w:num w:numId="35" w16cid:durableId="497425970">
    <w:abstractNumId w:val="29"/>
  </w:num>
  <w:num w:numId="36" w16cid:durableId="4398806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611307">
    <w:abstractNumId w:val="58"/>
  </w:num>
  <w:num w:numId="38" w16cid:durableId="1427772320">
    <w:abstractNumId w:val="5"/>
  </w:num>
  <w:num w:numId="39" w16cid:durableId="419260382">
    <w:abstractNumId w:val="26"/>
  </w:num>
  <w:num w:numId="40" w16cid:durableId="1810510539">
    <w:abstractNumId w:val="55"/>
  </w:num>
  <w:num w:numId="41" w16cid:durableId="439374885">
    <w:abstractNumId w:val="19"/>
  </w:num>
  <w:num w:numId="42" w16cid:durableId="1545942873">
    <w:abstractNumId w:val="39"/>
  </w:num>
  <w:num w:numId="43" w16cid:durableId="284311629">
    <w:abstractNumId w:val="33"/>
  </w:num>
  <w:num w:numId="44" w16cid:durableId="2821422">
    <w:abstractNumId w:val="21"/>
  </w:num>
  <w:num w:numId="45" w16cid:durableId="1078945590">
    <w:abstractNumId w:val="17"/>
  </w:num>
  <w:num w:numId="46" w16cid:durableId="1634022317">
    <w:abstractNumId w:val="25"/>
  </w:num>
  <w:num w:numId="47" w16cid:durableId="2035304107">
    <w:abstractNumId w:val="35"/>
    <w:lvlOverride w:ilvl="0">
      <w:startOverride w:val="17"/>
    </w:lvlOverride>
  </w:num>
  <w:num w:numId="48" w16cid:durableId="88812522">
    <w:abstractNumId w:val="6"/>
  </w:num>
  <w:num w:numId="49" w16cid:durableId="1430929642">
    <w:abstractNumId w:val="53"/>
  </w:num>
  <w:num w:numId="50" w16cid:durableId="1865748736">
    <w:abstractNumId w:val="8"/>
  </w:num>
  <w:num w:numId="51" w16cid:durableId="392310726">
    <w:abstractNumId w:val="34"/>
  </w:num>
  <w:num w:numId="52" w16cid:durableId="479923383">
    <w:abstractNumId w:val="43"/>
  </w:num>
  <w:num w:numId="53" w16cid:durableId="2119107111">
    <w:abstractNumId w:val="4"/>
  </w:num>
  <w:num w:numId="54" w16cid:durableId="882522440">
    <w:abstractNumId w:val="42"/>
  </w:num>
  <w:num w:numId="55" w16cid:durableId="1089085459">
    <w:abstractNumId w:val="16"/>
  </w:num>
  <w:num w:numId="56" w16cid:durableId="984703980">
    <w:abstractNumId w:val="52"/>
  </w:num>
  <w:num w:numId="57" w16cid:durableId="440347410">
    <w:abstractNumId w:val="13"/>
  </w:num>
  <w:num w:numId="58" w16cid:durableId="406806696">
    <w:abstractNumId w:val="48"/>
  </w:num>
  <w:num w:numId="59" w16cid:durableId="1618827529">
    <w:abstractNumId w:val="7"/>
  </w:num>
  <w:num w:numId="60" w16cid:durableId="85927163">
    <w:abstractNumId w:val="38"/>
  </w:num>
  <w:num w:numId="61" w16cid:durableId="838694963">
    <w:abstractNumId w:val="9"/>
  </w:num>
  <w:num w:numId="62" w16cid:durableId="1705982254">
    <w:abstractNumId w:val="45"/>
  </w:num>
  <w:num w:numId="63" w16cid:durableId="971984056">
    <w:abstractNumId w:val="56"/>
  </w:num>
  <w:num w:numId="64" w16cid:durableId="1114136399">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removePersonalInformation/>
  <w:removeDateAndTime/>
  <w:printFractionalCharacterWidth/>
  <w:hideSpellingErrors/>
  <w:hideGrammaticalError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0C"/>
    <w:rsid w:val="000006B0"/>
    <w:rsid w:val="000006E1"/>
    <w:rsid w:val="00000884"/>
    <w:rsid w:val="000008A3"/>
    <w:rsid w:val="0000098C"/>
    <w:rsid w:val="00000AFC"/>
    <w:rsid w:val="00001118"/>
    <w:rsid w:val="00001221"/>
    <w:rsid w:val="0000144B"/>
    <w:rsid w:val="0000163F"/>
    <w:rsid w:val="00001C4F"/>
    <w:rsid w:val="00001D06"/>
    <w:rsid w:val="00001EBF"/>
    <w:rsid w:val="00001F91"/>
    <w:rsid w:val="00002439"/>
    <w:rsid w:val="000024B8"/>
    <w:rsid w:val="00002522"/>
    <w:rsid w:val="00002609"/>
    <w:rsid w:val="000029CC"/>
    <w:rsid w:val="00002A37"/>
    <w:rsid w:val="00002DCE"/>
    <w:rsid w:val="00002FBD"/>
    <w:rsid w:val="000033D7"/>
    <w:rsid w:val="00003970"/>
    <w:rsid w:val="00003C22"/>
    <w:rsid w:val="00003D0B"/>
    <w:rsid w:val="00003D4D"/>
    <w:rsid w:val="00003F53"/>
    <w:rsid w:val="000044F5"/>
    <w:rsid w:val="00004673"/>
    <w:rsid w:val="00004FCE"/>
    <w:rsid w:val="00005072"/>
    <w:rsid w:val="00005278"/>
    <w:rsid w:val="00005287"/>
    <w:rsid w:val="0000564C"/>
    <w:rsid w:val="00005692"/>
    <w:rsid w:val="000059AE"/>
    <w:rsid w:val="00005A9F"/>
    <w:rsid w:val="00005AE9"/>
    <w:rsid w:val="00005B50"/>
    <w:rsid w:val="00005DB2"/>
    <w:rsid w:val="00005DF4"/>
    <w:rsid w:val="000062EB"/>
    <w:rsid w:val="00006446"/>
    <w:rsid w:val="000066A5"/>
    <w:rsid w:val="00006751"/>
    <w:rsid w:val="00006896"/>
    <w:rsid w:val="00006948"/>
    <w:rsid w:val="00007CDC"/>
    <w:rsid w:val="00007F3C"/>
    <w:rsid w:val="00010289"/>
    <w:rsid w:val="00010569"/>
    <w:rsid w:val="000105FA"/>
    <w:rsid w:val="000107CD"/>
    <w:rsid w:val="000108B1"/>
    <w:rsid w:val="00010B8D"/>
    <w:rsid w:val="00010BEB"/>
    <w:rsid w:val="00010D54"/>
    <w:rsid w:val="00011275"/>
    <w:rsid w:val="00011286"/>
    <w:rsid w:val="000116E7"/>
    <w:rsid w:val="0001181D"/>
    <w:rsid w:val="00011A7F"/>
    <w:rsid w:val="00011AD2"/>
    <w:rsid w:val="00011B28"/>
    <w:rsid w:val="00011FDD"/>
    <w:rsid w:val="00011FFE"/>
    <w:rsid w:val="00012AC1"/>
    <w:rsid w:val="00012DA5"/>
    <w:rsid w:val="00013315"/>
    <w:rsid w:val="0001338C"/>
    <w:rsid w:val="000133A8"/>
    <w:rsid w:val="00013481"/>
    <w:rsid w:val="000134B0"/>
    <w:rsid w:val="000138E9"/>
    <w:rsid w:val="00013C7B"/>
    <w:rsid w:val="00013E44"/>
    <w:rsid w:val="00013F17"/>
    <w:rsid w:val="0001406A"/>
    <w:rsid w:val="00014118"/>
    <w:rsid w:val="00014286"/>
    <w:rsid w:val="00014294"/>
    <w:rsid w:val="000149BF"/>
    <w:rsid w:val="00014D3E"/>
    <w:rsid w:val="00014F51"/>
    <w:rsid w:val="0001503C"/>
    <w:rsid w:val="00015B28"/>
    <w:rsid w:val="00015BCD"/>
    <w:rsid w:val="00015D15"/>
    <w:rsid w:val="00016399"/>
    <w:rsid w:val="000163F6"/>
    <w:rsid w:val="00016554"/>
    <w:rsid w:val="0001698A"/>
    <w:rsid w:val="00016BF1"/>
    <w:rsid w:val="00016E7B"/>
    <w:rsid w:val="00016EA1"/>
    <w:rsid w:val="00017237"/>
    <w:rsid w:val="00017383"/>
    <w:rsid w:val="0001740A"/>
    <w:rsid w:val="00017D32"/>
    <w:rsid w:val="000204DA"/>
    <w:rsid w:val="000205D5"/>
    <w:rsid w:val="00020750"/>
    <w:rsid w:val="00020AE6"/>
    <w:rsid w:val="00020BF3"/>
    <w:rsid w:val="00020E69"/>
    <w:rsid w:val="00021141"/>
    <w:rsid w:val="00021182"/>
    <w:rsid w:val="00021475"/>
    <w:rsid w:val="00021E40"/>
    <w:rsid w:val="00021F6C"/>
    <w:rsid w:val="00022446"/>
    <w:rsid w:val="00022781"/>
    <w:rsid w:val="00022941"/>
    <w:rsid w:val="000229CF"/>
    <w:rsid w:val="00022AC0"/>
    <w:rsid w:val="00022BAF"/>
    <w:rsid w:val="00022D78"/>
    <w:rsid w:val="00022DA0"/>
    <w:rsid w:val="00022E87"/>
    <w:rsid w:val="000230B8"/>
    <w:rsid w:val="000233F4"/>
    <w:rsid w:val="000234D9"/>
    <w:rsid w:val="0002395B"/>
    <w:rsid w:val="00023B75"/>
    <w:rsid w:val="00024637"/>
    <w:rsid w:val="00024BA4"/>
    <w:rsid w:val="00024C25"/>
    <w:rsid w:val="00024E41"/>
    <w:rsid w:val="00024F25"/>
    <w:rsid w:val="000251F8"/>
    <w:rsid w:val="0002532F"/>
    <w:rsid w:val="00025475"/>
    <w:rsid w:val="0002564D"/>
    <w:rsid w:val="000257EF"/>
    <w:rsid w:val="000257FB"/>
    <w:rsid w:val="00025ECA"/>
    <w:rsid w:val="000266DF"/>
    <w:rsid w:val="000267D9"/>
    <w:rsid w:val="00026C83"/>
    <w:rsid w:val="00026D95"/>
    <w:rsid w:val="00026E6C"/>
    <w:rsid w:val="00026F1A"/>
    <w:rsid w:val="000273CC"/>
    <w:rsid w:val="0002774D"/>
    <w:rsid w:val="00027774"/>
    <w:rsid w:val="00027981"/>
    <w:rsid w:val="00030005"/>
    <w:rsid w:val="00030044"/>
    <w:rsid w:val="000301D7"/>
    <w:rsid w:val="00030A71"/>
    <w:rsid w:val="0003182A"/>
    <w:rsid w:val="00031B8C"/>
    <w:rsid w:val="00031D6B"/>
    <w:rsid w:val="00031EC4"/>
    <w:rsid w:val="00031F26"/>
    <w:rsid w:val="00032101"/>
    <w:rsid w:val="000321C0"/>
    <w:rsid w:val="00032202"/>
    <w:rsid w:val="000323F4"/>
    <w:rsid w:val="00032533"/>
    <w:rsid w:val="000325B8"/>
    <w:rsid w:val="00032772"/>
    <w:rsid w:val="00032990"/>
    <w:rsid w:val="00032A6F"/>
    <w:rsid w:val="00032AF4"/>
    <w:rsid w:val="0003324E"/>
    <w:rsid w:val="0003329A"/>
    <w:rsid w:val="0003339C"/>
    <w:rsid w:val="00033461"/>
    <w:rsid w:val="00034017"/>
    <w:rsid w:val="000342E5"/>
    <w:rsid w:val="00034362"/>
    <w:rsid w:val="000346E6"/>
    <w:rsid w:val="00034AF0"/>
    <w:rsid w:val="00034C15"/>
    <w:rsid w:val="00034E13"/>
    <w:rsid w:val="00034F0B"/>
    <w:rsid w:val="0003508E"/>
    <w:rsid w:val="0003549C"/>
    <w:rsid w:val="0003573D"/>
    <w:rsid w:val="00035C29"/>
    <w:rsid w:val="00035CA3"/>
    <w:rsid w:val="00036649"/>
    <w:rsid w:val="000366AF"/>
    <w:rsid w:val="000367FF"/>
    <w:rsid w:val="000368D5"/>
    <w:rsid w:val="00036AC6"/>
    <w:rsid w:val="00036BA1"/>
    <w:rsid w:val="00036D51"/>
    <w:rsid w:val="00036E0A"/>
    <w:rsid w:val="00037184"/>
    <w:rsid w:val="00037C33"/>
    <w:rsid w:val="00037C45"/>
    <w:rsid w:val="0004032A"/>
    <w:rsid w:val="00040494"/>
    <w:rsid w:val="00040848"/>
    <w:rsid w:val="000409B0"/>
    <w:rsid w:val="00040B18"/>
    <w:rsid w:val="00040D24"/>
    <w:rsid w:val="00041381"/>
    <w:rsid w:val="00041BFE"/>
    <w:rsid w:val="00041D54"/>
    <w:rsid w:val="00041EFF"/>
    <w:rsid w:val="0004200C"/>
    <w:rsid w:val="000420BB"/>
    <w:rsid w:val="0004215E"/>
    <w:rsid w:val="0004217F"/>
    <w:rsid w:val="000421FE"/>
    <w:rsid w:val="000422E2"/>
    <w:rsid w:val="0004236A"/>
    <w:rsid w:val="0004244F"/>
    <w:rsid w:val="00042B23"/>
    <w:rsid w:val="00042CEE"/>
    <w:rsid w:val="00042F22"/>
    <w:rsid w:val="0004311F"/>
    <w:rsid w:val="000437AD"/>
    <w:rsid w:val="00043E40"/>
    <w:rsid w:val="0004411A"/>
    <w:rsid w:val="000444EF"/>
    <w:rsid w:val="00044558"/>
    <w:rsid w:val="00044B11"/>
    <w:rsid w:val="00044BA5"/>
    <w:rsid w:val="000451AA"/>
    <w:rsid w:val="000451F0"/>
    <w:rsid w:val="000452AF"/>
    <w:rsid w:val="00045302"/>
    <w:rsid w:val="000454F4"/>
    <w:rsid w:val="00045817"/>
    <w:rsid w:val="00045A8C"/>
    <w:rsid w:val="00046029"/>
    <w:rsid w:val="00046204"/>
    <w:rsid w:val="000464F3"/>
    <w:rsid w:val="000469AC"/>
    <w:rsid w:val="00046BBF"/>
    <w:rsid w:val="00047120"/>
    <w:rsid w:val="00047B94"/>
    <w:rsid w:val="00047E37"/>
    <w:rsid w:val="00047E4F"/>
    <w:rsid w:val="00047EF7"/>
    <w:rsid w:val="0005037D"/>
    <w:rsid w:val="00050426"/>
    <w:rsid w:val="000506EB"/>
    <w:rsid w:val="00050700"/>
    <w:rsid w:val="00050819"/>
    <w:rsid w:val="000509AF"/>
    <w:rsid w:val="00050D58"/>
    <w:rsid w:val="00050E0F"/>
    <w:rsid w:val="000513C6"/>
    <w:rsid w:val="00051512"/>
    <w:rsid w:val="00051B10"/>
    <w:rsid w:val="00051CA6"/>
    <w:rsid w:val="00051F45"/>
    <w:rsid w:val="0005200A"/>
    <w:rsid w:val="000523E7"/>
    <w:rsid w:val="0005244B"/>
    <w:rsid w:val="00052A07"/>
    <w:rsid w:val="00052B06"/>
    <w:rsid w:val="00052BC3"/>
    <w:rsid w:val="00052C31"/>
    <w:rsid w:val="00052DEE"/>
    <w:rsid w:val="0005331D"/>
    <w:rsid w:val="00053498"/>
    <w:rsid w:val="000534E3"/>
    <w:rsid w:val="000536A8"/>
    <w:rsid w:val="000536BE"/>
    <w:rsid w:val="00053A0C"/>
    <w:rsid w:val="00053B6E"/>
    <w:rsid w:val="00053F6D"/>
    <w:rsid w:val="00053FA7"/>
    <w:rsid w:val="0005401A"/>
    <w:rsid w:val="000545E6"/>
    <w:rsid w:val="0005479F"/>
    <w:rsid w:val="00055223"/>
    <w:rsid w:val="0005550B"/>
    <w:rsid w:val="00055A98"/>
    <w:rsid w:val="00055BA3"/>
    <w:rsid w:val="00055C49"/>
    <w:rsid w:val="00056057"/>
    <w:rsid w:val="0005606A"/>
    <w:rsid w:val="0005621C"/>
    <w:rsid w:val="000563FA"/>
    <w:rsid w:val="0005643F"/>
    <w:rsid w:val="00056560"/>
    <w:rsid w:val="00056770"/>
    <w:rsid w:val="00056A76"/>
    <w:rsid w:val="00057117"/>
    <w:rsid w:val="00057B0E"/>
    <w:rsid w:val="00057B1C"/>
    <w:rsid w:val="00057C03"/>
    <w:rsid w:val="00057E71"/>
    <w:rsid w:val="0006049D"/>
    <w:rsid w:val="00060902"/>
    <w:rsid w:val="00060B73"/>
    <w:rsid w:val="00060BFB"/>
    <w:rsid w:val="00060F42"/>
    <w:rsid w:val="000613D7"/>
    <w:rsid w:val="00061481"/>
    <w:rsid w:val="00061649"/>
    <w:rsid w:val="000616E7"/>
    <w:rsid w:val="00061E37"/>
    <w:rsid w:val="00061E92"/>
    <w:rsid w:val="00061F29"/>
    <w:rsid w:val="00061F63"/>
    <w:rsid w:val="0006269F"/>
    <w:rsid w:val="00062A25"/>
    <w:rsid w:val="00062C40"/>
    <w:rsid w:val="00063013"/>
    <w:rsid w:val="00063211"/>
    <w:rsid w:val="000634BF"/>
    <w:rsid w:val="00063575"/>
    <w:rsid w:val="000636F2"/>
    <w:rsid w:val="00063797"/>
    <w:rsid w:val="00063C67"/>
    <w:rsid w:val="000641EF"/>
    <w:rsid w:val="00064674"/>
    <w:rsid w:val="0006487E"/>
    <w:rsid w:val="000648F5"/>
    <w:rsid w:val="00064A05"/>
    <w:rsid w:val="00064AFE"/>
    <w:rsid w:val="00064FD0"/>
    <w:rsid w:val="00065ACF"/>
    <w:rsid w:val="00065ADA"/>
    <w:rsid w:val="00065AE1"/>
    <w:rsid w:val="00065D20"/>
    <w:rsid w:val="00065E1A"/>
    <w:rsid w:val="0006608D"/>
    <w:rsid w:val="000664FB"/>
    <w:rsid w:val="00066803"/>
    <w:rsid w:val="0006690B"/>
    <w:rsid w:val="00066D23"/>
    <w:rsid w:val="0006711E"/>
    <w:rsid w:val="0006743C"/>
    <w:rsid w:val="000677DD"/>
    <w:rsid w:val="00067A2E"/>
    <w:rsid w:val="00067A64"/>
    <w:rsid w:val="00067C20"/>
    <w:rsid w:val="00067C23"/>
    <w:rsid w:val="00067EE3"/>
    <w:rsid w:val="00070625"/>
    <w:rsid w:val="000706D7"/>
    <w:rsid w:val="00070824"/>
    <w:rsid w:val="000709F4"/>
    <w:rsid w:val="00070C5C"/>
    <w:rsid w:val="00070DB6"/>
    <w:rsid w:val="00070EB3"/>
    <w:rsid w:val="000718B1"/>
    <w:rsid w:val="00071A4F"/>
    <w:rsid w:val="00071B15"/>
    <w:rsid w:val="00071B41"/>
    <w:rsid w:val="00071DF2"/>
    <w:rsid w:val="000726C4"/>
    <w:rsid w:val="00072B5D"/>
    <w:rsid w:val="00072B83"/>
    <w:rsid w:val="00072E34"/>
    <w:rsid w:val="00072E75"/>
    <w:rsid w:val="00073127"/>
    <w:rsid w:val="000731FD"/>
    <w:rsid w:val="000734BB"/>
    <w:rsid w:val="000738FA"/>
    <w:rsid w:val="00073BAC"/>
    <w:rsid w:val="00073FBB"/>
    <w:rsid w:val="000742E4"/>
    <w:rsid w:val="000743D7"/>
    <w:rsid w:val="000745EB"/>
    <w:rsid w:val="00074CA3"/>
    <w:rsid w:val="00074D08"/>
    <w:rsid w:val="00075407"/>
    <w:rsid w:val="000757B5"/>
    <w:rsid w:val="000759FC"/>
    <w:rsid w:val="00075EDC"/>
    <w:rsid w:val="00076414"/>
    <w:rsid w:val="00076A18"/>
    <w:rsid w:val="000770EC"/>
    <w:rsid w:val="00077253"/>
    <w:rsid w:val="000772C0"/>
    <w:rsid w:val="00077E5F"/>
    <w:rsid w:val="000800CC"/>
    <w:rsid w:val="0008036A"/>
    <w:rsid w:val="00080820"/>
    <w:rsid w:val="000808FC"/>
    <w:rsid w:val="00080C7B"/>
    <w:rsid w:val="00080D5A"/>
    <w:rsid w:val="0008145D"/>
    <w:rsid w:val="000814B9"/>
    <w:rsid w:val="000814BA"/>
    <w:rsid w:val="000816D2"/>
    <w:rsid w:val="000817DD"/>
    <w:rsid w:val="00081862"/>
    <w:rsid w:val="000818FE"/>
    <w:rsid w:val="00081923"/>
    <w:rsid w:val="00081AE6"/>
    <w:rsid w:val="00081AF9"/>
    <w:rsid w:val="00081B5E"/>
    <w:rsid w:val="00081BA1"/>
    <w:rsid w:val="0008284D"/>
    <w:rsid w:val="00082D51"/>
    <w:rsid w:val="00082DA1"/>
    <w:rsid w:val="00082E0F"/>
    <w:rsid w:val="0008303A"/>
    <w:rsid w:val="000830D4"/>
    <w:rsid w:val="00083351"/>
    <w:rsid w:val="00083426"/>
    <w:rsid w:val="000835DF"/>
    <w:rsid w:val="00083659"/>
    <w:rsid w:val="00083830"/>
    <w:rsid w:val="00083A28"/>
    <w:rsid w:val="00083B20"/>
    <w:rsid w:val="00083DB1"/>
    <w:rsid w:val="00083FEC"/>
    <w:rsid w:val="00084147"/>
    <w:rsid w:val="00084156"/>
    <w:rsid w:val="0008429C"/>
    <w:rsid w:val="00084E0E"/>
    <w:rsid w:val="00084FF3"/>
    <w:rsid w:val="000850DB"/>
    <w:rsid w:val="000855EB"/>
    <w:rsid w:val="0008579C"/>
    <w:rsid w:val="000858D1"/>
    <w:rsid w:val="00085A76"/>
    <w:rsid w:val="00085B52"/>
    <w:rsid w:val="00085F56"/>
    <w:rsid w:val="00085FFA"/>
    <w:rsid w:val="0008600B"/>
    <w:rsid w:val="00086181"/>
    <w:rsid w:val="000864DF"/>
    <w:rsid w:val="0008657B"/>
    <w:rsid w:val="000866F2"/>
    <w:rsid w:val="00086B13"/>
    <w:rsid w:val="00087205"/>
    <w:rsid w:val="00087279"/>
    <w:rsid w:val="0008751D"/>
    <w:rsid w:val="000877B0"/>
    <w:rsid w:val="00087AB9"/>
    <w:rsid w:val="00087D13"/>
    <w:rsid w:val="00087D4A"/>
    <w:rsid w:val="0009009F"/>
    <w:rsid w:val="0009047A"/>
    <w:rsid w:val="0009059F"/>
    <w:rsid w:val="0009065C"/>
    <w:rsid w:val="00090899"/>
    <w:rsid w:val="00090B98"/>
    <w:rsid w:val="00090C06"/>
    <w:rsid w:val="00090E1B"/>
    <w:rsid w:val="0009138C"/>
    <w:rsid w:val="00091413"/>
    <w:rsid w:val="00091557"/>
    <w:rsid w:val="00091606"/>
    <w:rsid w:val="00091B12"/>
    <w:rsid w:val="000924C1"/>
    <w:rsid w:val="000924F0"/>
    <w:rsid w:val="000926CF"/>
    <w:rsid w:val="00092EF8"/>
    <w:rsid w:val="00092F5B"/>
    <w:rsid w:val="000930D1"/>
    <w:rsid w:val="00093474"/>
    <w:rsid w:val="00093480"/>
    <w:rsid w:val="00093673"/>
    <w:rsid w:val="00094668"/>
    <w:rsid w:val="00094672"/>
    <w:rsid w:val="000946F0"/>
    <w:rsid w:val="0009485D"/>
    <w:rsid w:val="000949C7"/>
    <w:rsid w:val="0009510F"/>
    <w:rsid w:val="00095336"/>
    <w:rsid w:val="000955DD"/>
    <w:rsid w:val="00095666"/>
    <w:rsid w:val="00095956"/>
    <w:rsid w:val="00095B16"/>
    <w:rsid w:val="00095C9D"/>
    <w:rsid w:val="0009606E"/>
    <w:rsid w:val="0009618B"/>
    <w:rsid w:val="0009639B"/>
    <w:rsid w:val="00096401"/>
    <w:rsid w:val="000965E0"/>
    <w:rsid w:val="00097095"/>
    <w:rsid w:val="000970DB"/>
    <w:rsid w:val="00097826"/>
    <w:rsid w:val="000979AA"/>
    <w:rsid w:val="00097B31"/>
    <w:rsid w:val="00097BCB"/>
    <w:rsid w:val="00097F52"/>
    <w:rsid w:val="000A0304"/>
    <w:rsid w:val="000A03BC"/>
    <w:rsid w:val="000A03D9"/>
    <w:rsid w:val="000A10BF"/>
    <w:rsid w:val="000A1147"/>
    <w:rsid w:val="000A1218"/>
    <w:rsid w:val="000A132A"/>
    <w:rsid w:val="000A135C"/>
    <w:rsid w:val="000A1576"/>
    <w:rsid w:val="000A1614"/>
    <w:rsid w:val="000A1813"/>
    <w:rsid w:val="000A19F4"/>
    <w:rsid w:val="000A1B7B"/>
    <w:rsid w:val="000A1DF0"/>
    <w:rsid w:val="000A1E00"/>
    <w:rsid w:val="000A1FA7"/>
    <w:rsid w:val="000A2092"/>
    <w:rsid w:val="000A25F6"/>
    <w:rsid w:val="000A26B2"/>
    <w:rsid w:val="000A29BA"/>
    <w:rsid w:val="000A2ACD"/>
    <w:rsid w:val="000A2B82"/>
    <w:rsid w:val="000A2EE5"/>
    <w:rsid w:val="000A314D"/>
    <w:rsid w:val="000A326E"/>
    <w:rsid w:val="000A36BE"/>
    <w:rsid w:val="000A375B"/>
    <w:rsid w:val="000A3858"/>
    <w:rsid w:val="000A3A95"/>
    <w:rsid w:val="000A3BA5"/>
    <w:rsid w:val="000A3CEA"/>
    <w:rsid w:val="000A3D82"/>
    <w:rsid w:val="000A3EB7"/>
    <w:rsid w:val="000A3FE0"/>
    <w:rsid w:val="000A430C"/>
    <w:rsid w:val="000A43BD"/>
    <w:rsid w:val="000A495E"/>
    <w:rsid w:val="000A4F89"/>
    <w:rsid w:val="000A5219"/>
    <w:rsid w:val="000A5239"/>
    <w:rsid w:val="000A52B9"/>
    <w:rsid w:val="000A546C"/>
    <w:rsid w:val="000A5677"/>
    <w:rsid w:val="000A56F2"/>
    <w:rsid w:val="000A65AB"/>
    <w:rsid w:val="000A6727"/>
    <w:rsid w:val="000A676A"/>
    <w:rsid w:val="000A6957"/>
    <w:rsid w:val="000A69CC"/>
    <w:rsid w:val="000A6CDF"/>
    <w:rsid w:val="000A7052"/>
    <w:rsid w:val="000A732A"/>
    <w:rsid w:val="000A7412"/>
    <w:rsid w:val="000A7549"/>
    <w:rsid w:val="000A7699"/>
    <w:rsid w:val="000A76CA"/>
    <w:rsid w:val="000A7841"/>
    <w:rsid w:val="000A7B40"/>
    <w:rsid w:val="000A7DD3"/>
    <w:rsid w:val="000A7F81"/>
    <w:rsid w:val="000B0007"/>
    <w:rsid w:val="000B013B"/>
    <w:rsid w:val="000B066F"/>
    <w:rsid w:val="000B07BD"/>
    <w:rsid w:val="000B0E67"/>
    <w:rsid w:val="000B1192"/>
    <w:rsid w:val="000B1234"/>
    <w:rsid w:val="000B12C8"/>
    <w:rsid w:val="000B13DD"/>
    <w:rsid w:val="000B192D"/>
    <w:rsid w:val="000B1E18"/>
    <w:rsid w:val="000B1EB7"/>
    <w:rsid w:val="000B229F"/>
    <w:rsid w:val="000B266B"/>
    <w:rsid w:val="000B2719"/>
    <w:rsid w:val="000B29D8"/>
    <w:rsid w:val="000B2A5B"/>
    <w:rsid w:val="000B2B9F"/>
    <w:rsid w:val="000B2D50"/>
    <w:rsid w:val="000B2F96"/>
    <w:rsid w:val="000B3077"/>
    <w:rsid w:val="000B339E"/>
    <w:rsid w:val="000B3502"/>
    <w:rsid w:val="000B3723"/>
    <w:rsid w:val="000B3750"/>
    <w:rsid w:val="000B37CA"/>
    <w:rsid w:val="000B3852"/>
    <w:rsid w:val="000B3A8F"/>
    <w:rsid w:val="000B3C5B"/>
    <w:rsid w:val="000B3DF0"/>
    <w:rsid w:val="000B3E12"/>
    <w:rsid w:val="000B3FD0"/>
    <w:rsid w:val="000B4241"/>
    <w:rsid w:val="000B462A"/>
    <w:rsid w:val="000B4782"/>
    <w:rsid w:val="000B4A36"/>
    <w:rsid w:val="000B4AB9"/>
    <w:rsid w:val="000B5606"/>
    <w:rsid w:val="000B574F"/>
    <w:rsid w:val="000B58C3"/>
    <w:rsid w:val="000B58F3"/>
    <w:rsid w:val="000B5BEA"/>
    <w:rsid w:val="000B5BEF"/>
    <w:rsid w:val="000B5C13"/>
    <w:rsid w:val="000B5C35"/>
    <w:rsid w:val="000B5E5C"/>
    <w:rsid w:val="000B609D"/>
    <w:rsid w:val="000B61E9"/>
    <w:rsid w:val="000B64F1"/>
    <w:rsid w:val="000B6BF8"/>
    <w:rsid w:val="000B6E4B"/>
    <w:rsid w:val="000B722C"/>
    <w:rsid w:val="000B754D"/>
    <w:rsid w:val="000B77F7"/>
    <w:rsid w:val="000B7BC8"/>
    <w:rsid w:val="000B7D5D"/>
    <w:rsid w:val="000B7DCB"/>
    <w:rsid w:val="000C01BE"/>
    <w:rsid w:val="000C01D4"/>
    <w:rsid w:val="000C03B4"/>
    <w:rsid w:val="000C040E"/>
    <w:rsid w:val="000C0729"/>
    <w:rsid w:val="000C093E"/>
    <w:rsid w:val="000C0973"/>
    <w:rsid w:val="000C126B"/>
    <w:rsid w:val="000C165A"/>
    <w:rsid w:val="000C19C3"/>
    <w:rsid w:val="000C1B35"/>
    <w:rsid w:val="000C22E5"/>
    <w:rsid w:val="000C24D5"/>
    <w:rsid w:val="000C26B2"/>
    <w:rsid w:val="000C28AB"/>
    <w:rsid w:val="000C2C27"/>
    <w:rsid w:val="000C2C5D"/>
    <w:rsid w:val="000C2E19"/>
    <w:rsid w:val="000C2F95"/>
    <w:rsid w:val="000C3E19"/>
    <w:rsid w:val="000C3EAC"/>
    <w:rsid w:val="000C42D4"/>
    <w:rsid w:val="000C43AD"/>
    <w:rsid w:val="000C45DF"/>
    <w:rsid w:val="000C49AE"/>
    <w:rsid w:val="000C4B15"/>
    <w:rsid w:val="000C531C"/>
    <w:rsid w:val="000C59F1"/>
    <w:rsid w:val="000C5FEE"/>
    <w:rsid w:val="000C6009"/>
    <w:rsid w:val="000C62C4"/>
    <w:rsid w:val="000C6C1D"/>
    <w:rsid w:val="000C6DA7"/>
    <w:rsid w:val="000C72AD"/>
    <w:rsid w:val="000C7E8E"/>
    <w:rsid w:val="000D0103"/>
    <w:rsid w:val="000D0CA2"/>
    <w:rsid w:val="000D0D07"/>
    <w:rsid w:val="000D0D45"/>
    <w:rsid w:val="000D104B"/>
    <w:rsid w:val="000D132C"/>
    <w:rsid w:val="000D19F5"/>
    <w:rsid w:val="000D1B8B"/>
    <w:rsid w:val="000D1EA5"/>
    <w:rsid w:val="000D1EE9"/>
    <w:rsid w:val="000D24D9"/>
    <w:rsid w:val="000D278D"/>
    <w:rsid w:val="000D291B"/>
    <w:rsid w:val="000D2E93"/>
    <w:rsid w:val="000D30C3"/>
    <w:rsid w:val="000D31F3"/>
    <w:rsid w:val="000D3325"/>
    <w:rsid w:val="000D335E"/>
    <w:rsid w:val="000D3513"/>
    <w:rsid w:val="000D37C7"/>
    <w:rsid w:val="000D395F"/>
    <w:rsid w:val="000D3AD2"/>
    <w:rsid w:val="000D3B53"/>
    <w:rsid w:val="000D3BF3"/>
    <w:rsid w:val="000D3EC2"/>
    <w:rsid w:val="000D4173"/>
    <w:rsid w:val="000D427B"/>
    <w:rsid w:val="000D43B2"/>
    <w:rsid w:val="000D466D"/>
    <w:rsid w:val="000D4797"/>
    <w:rsid w:val="000D4D65"/>
    <w:rsid w:val="000D4E89"/>
    <w:rsid w:val="000D509E"/>
    <w:rsid w:val="000D55D2"/>
    <w:rsid w:val="000D58F2"/>
    <w:rsid w:val="000D5C19"/>
    <w:rsid w:val="000D5F32"/>
    <w:rsid w:val="000D5FF0"/>
    <w:rsid w:val="000D6358"/>
    <w:rsid w:val="000D637C"/>
    <w:rsid w:val="000D648A"/>
    <w:rsid w:val="000D648D"/>
    <w:rsid w:val="000D65B6"/>
    <w:rsid w:val="000D6BD2"/>
    <w:rsid w:val="000D6E51"/>
    <w:rsid w:val="000D700D"/>
    <w:rsid w:val="000D7220"/>
    <w:rsid w:val="000D7309"/>
    <w:rsid w:val="000D7559"/>
    <w:rsid w:val="000D7CE2"/>
    <w:rsid w:val="000E0527"/>
    <w:rsid w:val="000E0F08"/>
    <w:rsid w:val="000E1285"/>
    <w:rsid w:val="000E13CD"/>
    <w:rsid w:val="000E159E"/>
    <w:rsid w:val="000E1D5A"/>
    <w:rsid w:val="000E1E92"/>
    <w:rsid w:val="000E1F43"/>
    <w:rsid w:val="000E22F8"/>
    <w:rsid w:val="000E2428"/>
    <w:rsid w:val="000E2796"/>
    <w:rsid w:val="000E2ED5"/>
    <w:rsid w:val="000E322A"/>
    <w:rsid w:val="000E3336"/>
    <w:rsid w:val="000E3463"/>
    <w:rsid w:val="000E3A66"/>
    <w:rsid w:val="000E3C7C"/>
    <w:rsid w:val="000E3EB6"/>
    <w:rsid w:val="000E3ED8"/>
    <w:rsid w:val="000E3EF8"/>
    <w:rsid w:val="000E4485"/>
    <w:rsid w:val="000E47D9"/>
    <w:rsid w:val="000E56B8"/>
    <w:rsid w:val="000E5A79"/>
    <w:rsid w:val="000E5B6D"/>
    <w:rsid w:val="000E5F0D"/>
    <w:rsid w:val="000E5FA4"/>
    <w:rsid w:val="000E6159"/>
    <w:rsid w:val="000E66E4"/>
    <w:rsid w:val="000E6B02"/>
    <w:rsid w:val="000E6B12"/>
    <w:rsid w:val="000E709C"/>
    <w:rsid w:val="000E75F7"/>
    <w:rsid w:val="000E766B"/>
    <w:rsid w:val="000E76B1"/>
    <w:rsid w:val="000E78FC"/>
    <w:rsid w:val="000E7DB8"/>
    <w:rsid w:val="000E7DBA"/>
    <w:rsid w:val="000E7F4C"/>
    <w:rsid w:val="000F015D"/>
    <w:rsid w:val="000F030C"/>
    <w:rsid w:val="000F034C"/>
    <w:rsid w:val="000F0363"/>
    <w:rsid w:val="000F04C2"/>
    <w:rsid w:val="000F05C1"/>
    <w:rsid w:val="000F06D6"/>
    <w:rsid w:val="000F0A9F"/>
    <w:rsid w:val="000F0B29"/>
    <w:rsid w:val="000F0BAD"/>
    <w:rsid w:val="000F0EB1"/>
    <w:rsid w:val="000F0F33"/>
    <w:rsid w:val="000F101E"/>
    <w:rsid w:val="000F1106"/>
    <w:rsid w:val="000F152B"/>
    <w:rsid w:val="000F1774"/>
    <w:rsid w:val="000F17F9"/>
    <w:rsid w:val="000F1A96"/>
    <w:rsid w:val="000F1C7E"/>
    <w:rsid w:val="000F1EF9"/>
    <w:rsid w:val="000F2504"/>
    <w:rsid w:val="000F26C7"/>
    <w:rsid w:val="000F2BEB"/>
    <w:rsid w:val="000F2DB0"/>
    <w:rsid w:val="000F311E"/>
    <w:rsid w:val="000F35B0"/>
    <w:rsid w:val="000F3A59"/>
    <w:rsid w:val="000F3B8D"/>
    <w:rsid w:val="000F3BE9"/>
    <w:rsid w:val="000F3C5D"/>
    <w:rsid w:val="000F3DF7"/>
    <w:rsid w:val="000F3F6C"/>
    <w:rsid w:val="000F3FF4"/>
    <w:rsid w:val="000F4019"/>
    <w:rsid w:val="000F423D"/>
    <w:rsid w:val="000F4383"/>
    <w:rsid w:val="000F43AE"/>
    <w:rsid w:val="000F459A"/>
    <w:rsid w:val="000F467C"/>
    <w:rsid w:val="000F484F"/>
    <w:rsid w:val="000F4A5F"/>
    <w:rsid w:val="000F5444"/>
    <w:rsid w:val="000F579E"/>
    <w:rsid w:val="000F59A1"/>
    <w:rsid w:val="000F5A3D"/>
    <w:rsid w:val="000F5B09"/>
    <w:rsid w:val="000F5ED1"/>
    <w:rsid w:val="000F6013"/>
    <w:rsid w:val="000F6462"/>
    <w:rsid w:val="000F6694"/>
    <w:rsid w:val="000F67DC"/>
    <w:rsid w:val="000F684A"/>
    <w:rsid w:val="000F6895"/>
    <w:rsid w:val="000F6A2E"/>
    <w:rsid w:val="000F6DF3"/>
    <w:rsid w:val="000F6E7E"/>
    <w:rsid w:val="000F743A"/>
    <w:rsid w:val="000F7775"/>
    <w:rsid w:val="000F7B74"/>
    <w:rsid w:val="0010050C"/>
    <w:rsid w:val="001005FF"/>
    <w:rsid w:val="00100925"/>
    <w:rsid w:val="00100946"/>
    <w:rsid w:val="00100BEC"/>
    <w:rsid w:val="00100F84"/>
    <w:rsid w:val="00101057"/>
    <w:rsid w:val="0010234D"/>
    <w:rsid w:val="0010243B"/>
    <w:rsid w:val="00102A33"/>
    <w:rsid w:val="00102A4F"/>
    <w:rsid w:val="00102CBD"/>
    <w:rsid w:val="00102E39"/>
    <w:rsid w:val="00102EC1"/>
    <w:rsid w:val="00103055"/>
    <w:rsid w:val="00103150"/>
    <w:rsid w:val="001033DC"/>
    <w:rsid w:val="001033E4"/>
    <w:rsid w:val="00103612"/>
    <w:rsid w:val="00103979"/>
    <w:rsid w:val="00103E85"/>
    <w:rsid w:val="001044FE"/>
    <w:rsid w:val="00104740"/>
    <w:rsid w:val="001047A2"/>
    <w:rsid w:val="001048C6"/>
    <w:rsid w:val="00104AD2"/>
    <w:rsid w:val="001055EE"/>
    <w:rsid w:val="00105968"/>
    <w:rsid w:val="00106079"/>
    <w:rsid w:val="001062FB"/>
    <w:rsid w:val="001063E6"/>
    <w:rsid w:val="00106974"/>
    <w:rsid w:val="00106AD9"/>
    <w:rsid w:val="00106D7F"/>
    <w:rsid w:val="00107078"/>
    <w:rsid w:val="00107094"/>
    <w:rsid w:val="00107174"/>
    <w:rsid w:val="00107361"/>
    <w:rsid w:val="0010783A"/>
    <w:rsid w:val="00107A9A"/>
    <w:rsid w:val="00107D05"/>
    <w:rsid w:val="00107E10"/>
    <w:rsid w:val="00107E77"/>
    <w:rsid w:val="001100F1"/>
    <w:rsid w:val="00110315"/>
    <w:rsid w:val="0011068D"/>
    <w:rsid w:val="001108A1"/>
    <w:rsid w:val="00110BB0"/>
    <w:rsid w:val="001111E8"/>
    <w:rsid w:val="0011131E"/>
    <w:rsid w:val="001115A7"/>
    <w:rsid w:val="00111723"/>
    <w:rsid w:val="00111A43"/>
    <w:rsid w:val="00112207"/>
    <w:rsid w:val="0011220C"/>
    <w:rsid w:val="001127C4"/>
    <w:rsid w:val="00112B1F"/>
    <w:rsid w:val="00112C66"/>
    <w:rsid w:val="00112C98"/>
    <w:rsid w:val="0011312C"/>
    <w:rsid w:val="00113155"/>
    <w:rsid w:val="001132D5"/>
    <w:rsid w:val="00113320"/>
    <w:rsid w:val="00113765"/>
    <w:rsid w:val="00113AA8"/>
    <w:rsid w:val="00113AD0"/>
    <w:rsid w:val="00113C94"/>
    <w:rsid w:val="00113CF4"/>
    <w:rsid w:val="00113DD6"/>
    <w:rsid w:val="00114041"/>
    <w:rsid w:val="00114272"/>
    <w:rsid w:val="00114339"/>
    <w:rsid w:val="00114403"/>
    <w:rsid w:val="0011496C"/>
    <w:rsid w:val="0011496E"/>
    <w:rsid w:val="00114BC2"/>
    <w:rsid w:val="001150E5"/>
    <w:rsid w:val="001153EA"/>
    <w:rsid w:val="0011563E"/>
    <w:rsid w:val="00115643"/>
    <w:rsid w:val="00115733"/>
    <w:rsid w:val="00115821"/>
    <w:rsid w:val="00115958"/>
    <w:rsid w:val="00115A2E"/>
    <w:rsid w:val="00115D11"/>
    <w:rsid w:val="00115D4A"/>
    <w:rsid w:val="00115EBE"/>
    <w:rsid w:val="001160C8"/>
    <w:rsid w:val="00116198"/>
    <w:rsid w:val="00116398"/>
    <w:rsid w:val="00116765"/>
    <w:rsid w:val="001167BE"/>
    <w:rsid w:val="00116A08"/>
    <w:rsid w:val="001173BD"/>
    <w:rsid w:val="00117482"/>
    <w:rsid w:val="00117954"/>
    <w:rsid w:val="00117A00"/>
    <w:rsid w:val="00117F6E"/>
    <w:rsid w:val="00120057"/>
    <w:rsid w:val="00120310"/>
    <w:rsid w:val="0012054A"/>
    <w:rsid w:val="00121097"/>
    <w:rsid w:val="001219F5"/>
    <w:rsid w:val="00121A20"/>
    <w:rsid w:val="00121AC0"/>
    <w:rsid w:val="00121EC5"/>
    <w:rsid w:val="001220D7"/>
    <w:rsid w:val="00122326"/>
    <w:rsid w:val="00122332"/>
    <w:rsid w:val="0012236D"/>
    <w:rsid w:val="001224CC"/>
    <w:rsid w:val="001224FF"/>
    <w:rsid w:val="00122811"/>
    <w:rsid w:val="00122A8C"/>
    <w:rsid w:val="001235DF"/>
    <w:rsid w:val="0012377F"/>
    <w:rsid w:val="001238A9"/>
    <w:rsid w:val="00123A9F"/>
    <w:rsid w:val="00123D7D"/>
    <w:rsid w:val="00123F2C"/>
    <w:rsid w:val="0012420A"/>
    <w:rsid w:val="00124314"/>
    <w:rsid w:val="00124373"/>
    <w:rsid w:val="00124772"/>
    <w:rsid w:val="00124BD2"/>
    <w:rsid w:val="00124CB1"/>
    <w:rsid w:val="00124D22"/>
    <w:rsid w:val="00124DA2"/>
    <w:rsid w:val="00124F15"/>
    <w:rsid w:val="001251A3"/>
    <w:rsid w:val="001251C0"/>
    <w:rsid w:val="00125660"/>
    <w:rsid w:val="00125748"/>
    <w:rsid w:val="00125B07"/>
    <w:rsid w:val="00125D01"/>
    <w:rsid w:val="00125F40"/>
    <w:rsid w:val="00125F78"/>
    <w:rsid w:val="00126327"/>
    <w:rsid w:val="00126B4A"/>
    <w:rsid w:val="00126C80"/>
    <w:rsid w:val="00126D81"/>
    <w:rsid w:val="00126E2C"/>
    <w:rsid w:val="00126E3A"/>
    <w:rsid w:val="00127399"/>
    <w:rsid w:val="001275CE"/>
    <w:rsid w:val="00127623"/>
    <w:rsid w:val="001278FA"/>
    <w:rsid w:val="001302E2"/>
    <w:rsid w:val="00130349"/>
    <w:rsid w:val="001303EB"/>
    <w:rsid w:val="001304BF"/>
    <w:rsid w:val="00130802"/>
    <w:rsid w:val="00130B82"/>
    <w:rsid w:val="001310CD"/>
    <w:rsid w:val="00131207"/>
    <w:rsid w:val="00131584"/>
    <w:rsid w:val="00131811"/>
    <w:rsid w:val="001318B4"/>
    <w:rsid w:val="00131AD3"/>
    <w:rsid w:val="0013228D"/>
    <w:rsid w:val="001322A1"/>
    <w:rsid w:val="00132543"/>
    <w:rsid w:val="00132FD0"/>
    <w:rsid w:val="0013306F"/>
    <w:rsid w:val="001331B5"/>
    <w:rsid w:val="001337EB"/>
    <w:rsid w:val="0013388C"/>
    <w:rsid w:val="00133C52"/>
    <w:rsid w:val="00134222"/>
    <w:rsid w:val="001342A7"/>
    <w:rsid w:val="001344C0"/>
    <w:rsid w:val="001345A0"/>
    <w:rsid w:val="001346FA"/>
    <w:rsid w:val="00134C5C"/>
    <w:rsid w:val="00134CDE"/>
    <w:rsid w:val="00134E3A"/>
    <w:rsid w:val="0013512B"/>
    <w:rsid w:val="00135252"/>
    <w:rsid w:val="001352B9"/>
    <w:rsid w:val="001353D7"/>
    <w:rsid w:val="001355C4"/>
    <w:rsid w:val="00135669"/>
    <w:rsid w:val="00135933"/>
    <w:rsid w:val="0013598B"/>
    <w:rsid w:val="001359F8"/>
    <w:rsid w:val="00135D30"/>
    <w:rsid w:val="00135ED3"/>
    <w:rsid w:val="00136553"/>
    <w:rsid w:val="0013659D"/>
    <w:rsid w:val="001366F7"/>
    <w:rsid w:val="001368A3"/>
    <w:rsid w:val="00136945"/>
    <w:rsid w:val="00136ACF"/>
    <w:rsid w:val="00136B2F"/>
    <w:rsid w:val="00136E83"/>
    <w:rsid w:val="00136F09"/>
    <w:rsid w:val="001373E0"/>
    <w:rsid w:val="00137595"/>
    <w:rsid w:val="001375BC"/>
    <w:rsid w:val="00137834"/>
    <w:rsid w:val="00137AB5"/>
    <w:rsid w:val="00137D24"/>
    <w:rsid w:val="00137F0B"/>
    <w:rsid w:val="001402BF"/>
    <w:rsid w:val="001404B4"/>
    <w:rsid w:val="00140EDE"/>
    <w:rsid w:val="001415C9"/>
    <w:rsid w:val="0014198D"/>
    <w:rsid w:val="00141C49"/>
    <w:rsid w:val="00141E4A"/>
    <w:rsid w:val="00142049"/>
    <w:rsid w:val="00142218"/>
    <w:rsid w:val="00142423"/>
    <w:rsid w:val="00142668"/>
    <w:rsid w:val="00142682"/>
    <w:rsid w:val="00142B4B"/>
    <w:rsid w:val="0014347A"/>
    <w:rsid w:val="0014352E"/>
    <w:rsid w:val="00143639"/>
    <w:rsid w:val="00143673"/>
    <w:rsid w:val="00143F45"/>
    <w:rsid w:val="001442ED"/>
    <w:rsid w:val="0014445E"/>
    <w:rsid w:val="00145371"/>
    <w:rsid w:val="001459EB"/>
    <w:rsid w:val="00145FB4"/>
    <w:rsid w:val="001468D4"/>
    <w:rsid w:val="00146DF1"/>
    <w:rsid w:val="00147447"/>
    <w:rsid w:val="001476AC"/>
    <w:rsid w:val="001476BB"/>
    <w:rsid w:val="0014794F"/>
    <w:rsid w:val="001479BF"/>
    <w:rsid w:val="00147A40"/>
    <w:rsid w:val="00147AFB"/>
    <w:rsid w:val="00147DCD"/>
    <w:rsid w:val="00150046"/>
    <w:rsid w:val="001501CF"/>
    <w:rsid w:val="001503B3"/>
    <w:rsid w:val="00150423"/>
    <w:rsid w:val="001504DE"/>
    <w:rsid w:val="0015084F"/>
    <w:rsid w:val="001508A4"/>
    <w:rsid w:val="001512EB"/>
    <w:rsid w:val="001514F2"/>
    <w:rsid w:val="00151B36"/>
    <w:rsid w:val="00151E14"/>
    <w:rsid w:val="00151E23"/>
    <w:rsid w:val="00151EF1"/>
    <w:rsid w:val="0015221F"/>
    <w:rsid w:val="00152266"/>
    <w:rsid w:val="00152277"/>
    <w:rsid w:val="00152419"/>
    <w:rsid w:val="001525A5"/>
    <w:rsid w:val="001526E0"/>
    <w:rsid w:val="001530D5"/>
    <w:rsid w:val="00153183"/>
    <w:rsid w:val="001533B9"/>
    <w:rsid w:val="001533D2"/>
    <w:rsid w:val="00153AF8"/>
    <w:rsid w:val="00153BE3"/>
    <w:rsid w:val="00153D46"/>
    <w:rsid w:val="00153DE4"/>
    <w:rsid w:val="00153EE8"/>
    <w:rsid w:val="00153F77"/>
    <w:rsid w:val="00153F7F"/>
    <w:rsid w:val="001540D7"/>
    <w:rsid w:val="001540E1"/>
    <w:rsid w:val="00154ACF"/>
    <w:rsid w:val="00154F07"/>
    <w:rsid w:val="001551B5"/>
    <w:rsid w:val="00155418"/>
    <w:rsid w:val="00155590"/>
    <w:rsid w:val="00155DA1"/>
    <w:rsid w:val="00155FBC"/>
    <w:rsid w:val="00156168"/>
    <w:rsid w:val="00156319"/>
    <w:rsid w:val="00156A1A"/>
    <w:rsid w:val="00156AE8"/>
    <w:rsid w:val="00156CD5"/>
    <w:rsid w:val="00157290"/>
    <w:rsid w:val="00157A20"/>
    <w:rsid w:val="00157ABA"/>
    <w:rsid w:val="0016005C"/>
    <w:rsid w:val="00160213"/>
    <w:rsid w:val="001611FE"/>
    <w:rsid w:val="00161854"/>
    <w:rsid w:val="001619D2"/>
    <w:rsid w:val="00161A1C"/>
    <w:rsid w:val="00161CCF"/>
    <w:rsid w:val="00161D00"/>
    <w:rsid w:val="00162761"/>
    <w:rsid w:val="00163668"/>
    <w:rsid w:val="00163755"/>
    <w:rsid w:val="00163AC8"/>
    <w:rsid w:val="00163BA5"/>
    <w:rsid w:val="00163CF3"/>
    <w:rsid w:val="00163D46"/>
    <w:rsid w:val="00163F12"/>
    <w:rsid w:val="00163FC6"/>
    <w:rsid w:val="001642FB"/>
    <w:rsid w:val="001646D7"/>
    <w:rsid w:val="00164A80"/>
    <w:rsid w:val="00165214"/>
    <w:rsid w:val="0016524D"/>
    <w:rsid w:val="0016533A"/>
    <w:rsid w:val="001654F7"/>
    <w:rsid w:val="00165912"/>
    <w:rsid w:val="001659C1"/>
    <w:rsid w:val="00165D37"/>
    <w:rsid w:val="00165DF2"/>
    <w:rsid w:val="001665D9"/>
    <w:rsid w:val="00166672"/>
    <w:rsid w:val="00166782"/>
    <w:rsid w:val="00166B18"/>
    <w:rsid w:val="001670E6"/>
    <w:rsid w:val="001671E2"/>
    <w:rsid w:val="0016730D"/>
    <w:rsid w:val="001674B2"/>
    <w:rsid w:val="001675EF"/>
    <w:rsid w:val="00167630"/>
    <w:rsid w:val="00167A6E"/>
    <w:rsid w:val="00167CA0"/>
    <w:rsid w:val="00167D71"/>
    <w:rsid w:val="00170068"/>
    <w:rsid w:val="001701DF"/>
    <w:rsid w:val="001702EE"/>
    <w:rsid w:val="00170307"/>
    <w:rsid w:val="00170C89"/>
    <w:rsid w:val="00170CA1"/>
    <w:rsid w:val="00170EB2"/>
    <w:rsid w:val="00170F3F"/>
    <w:rsid w:val="00171091"/>
    <w:rsid w:val="0017111C"/>
    <w:rsid w:val="00171283"/>
    <w:rsid w:val="001712A2"/>
    <w:rsid w:val="0017184A"/>
    <w:rsid w:val="001719D7"/>
    <w:rsid w:val="001723F2"/>
    <w:rsid w:val="00172BC1"/>
    <w:rsid w:val="00173247"/>
    <w:rsid w:val="00173A8E"/>
    <w:rsid w:val="00173CC0"/>
    <w:rsid w:val="00173CEA"/>
    <w:rsid w:val="001740C2"/>
    <w:rsid w:val="001743FB"/>
    <w:rsid w:val="00174543"/>
    <w:rsid w:val="00174565"/>
    <w:rsid w:val="00174657"/>
    <w:rsid w:val="0017466D"/>
    <w:rsid w:val="00174770"/>
    <w:rsid w:val="00174A51"/>
    <w:rsid w:val="00174AF7"/>
    <w:rsid w:val="00174D2D"/>
    <w:rsid w:val="00174D9F"/>
    <w:rsid w:val="00174F2E"/>
    <w:rsid w:val="0017502C"/>
    <w:rsid w:val="00175282"/>
    <w:rsid w:val="001752B4"/>
    <w:rsid w:val="001755A2"/>
    <w:rsid w:val="00175C8F"/>
    <w:rsid w:val="001763D6"/>
    <w:rsid w:val="00176648"/>
    <w:rsid w:val="00176679"/>
    <w:rsid w:val="00176FF2"/>
    <w:rsid w:val="00177D87"/>
    <w:rsid w:val="00177F11"/>
    <w:rsid w:val="00177FB7"/>
    <w:rsid w:val="00177FF8"/>
    <w:rsid w:val="00180152"/>
    <w:rsid w:val="00180679"/>
    <w:rsid w:val="001806A0"/>
    <w:rsid w:val="001807BF"/>
    <w:rsid w:val="00180D81"/>
    <w:rsid w:val="001811C8"/>
    <w:rsid w:val="0018143F"/>
    <w:rsid w:val="00181490"/>
    <w:rsid w:val="0018149F"/>
    <w:rsid w:val="001814EE"/>
    <w:rsid w:val="001815B3"/>
    <w:rsid w:val="001817CE"/>
    <w:rsid w:val="0018185F"/>
    <w:rsid w:val="00181CFF"/>
    <w:rsid w:val="00181FF8"/>
    <w:rsid w:val="0018206C"/>
    <w:rsid w:val="001827BF"/>
    <w:rsid w:val="00182AF5"/>
    <w:rsid w:val="00182E38"/>
    <w:rsid w:val="00182E4D"/>
    <w:rsid w:val="00183025"/>
    <w:rsid w:val="00183106"/>
    <w:rsid w:val="00183288"/>
    <w:rsid w:val="00183313"/>
    <w:rsid w:val="001836DC"/>
    <w:rsid w:val="00183D67"/>
    <w:rsid w:val="00183FE8"/>
    <w:rsid w:val="00184756"/>
    <w:rsid w:val="001847AC"/>
    <w:rsid w:val="001848E0"/>
    <w:rsid w:val="00184D5F"/>
    <w:rsid w:val="00184DA4"/>
    <w:rsid w:val="001850E4"/>
    <w:rsid w:val="00185AAD"/>
    <w:rsid w:val="00185DB1"/>
    <w:rsid w:val="00186522"/>
    <w:rsid w:val="001865D0"/>
    <w:rsid w:val="001869C3"/>
    <w:rsid w:val="00186C68"/>
    <w:rsid w:val="00186E05"/>
    <w:rsid w:val="00186E68"/>
    <w:rsid w:val="00187024"/>
    <w:rsid w:val="001871CF"/>
    <w:rsid w:val="00187344"/>
    <w:rsid w:val="00187578"/>
    <w:rsid w:val="0018758B"/>
    <w:rsid w:val="001876D8"/>
    <w:rsid w:val="00187905"/>
    <w:rsid w:val="00187959"/>
    <w:rsid w:val="00187A33"/>
    <w:rsid w:val="00187D93"/>
    <w:rsid w:val="00187EC8"/>
    <w:rsid w:val="00190002"/>
    <w:rsid w:val="00190025"/>
    <w:rsid w:val="001901A9"/>
    <w:rsid w:val="00190333"/>
    <w:rsid w:val="001903EA"/>
    <w:rsid w:val="00190558"/>
    <w:rsid w:val="0019061F"/>
    <w:rsid w:val="0019071C"/>
    <w:rsid w:val="00190AC1"/>
    <w:rsid w:val="00191299"/>
    <w:rsid w:val="00191329"/>
    <w:rsid w:val="001914BD"/>
    <w:rsid w:val="0019176D"/>
    <w:rsid w:val="00191A3F"/>
    <w:rsid w:val="00191B85"/>
    <w:rsid w:val="00191C6B"/>
    <w:rsid w:val="001925A9"/>
    <w:rsid w:val="001927ED"/>
    <w:rsid w:val="00192899"/>
    <w:rsid w:val="00192C63"/>
    <w:rsid w:val="00192EEF"/>
    <w:rsid w:val="00192EFF"/>
    <w:rsid w:val="00192F59"/>
    <w:rsid w:val="00193133"/>
    <w:rsid w:val="001932A3"/>
    <w:rsid w:val="00193305"/>
    <w:rsid w:val="00193349"/>
    <w:rsid w:val="0019341A"/>
    <w:rsid w:val="0019350D"/>
    <w:rsid w:val="0019357E"/>
    <w:rsid w:val="001937E5"/>
    <w:rsid w:val="001938FF"/>
    <w:rsid w:val="0019394E"/>
    <w:rsid w:val="00193D5A"/>
    <w:rsid w:val="00194568"/>
    <w:rsid w:val="001946F2"/>
    <w:rsid w:val="00194743"/>
    <w:rsid w:val="00194799"/>
    <w:rsid w:val="00194935"/>
    <w:rsid w:val="00194A72"/>
    <w:rsid w:val="00194B9E"/>
    <w:rsid w:val="00194DC2"/>
    <w:rsid w:val="00194E74"/>
    <w:rsid w:val="00194F3C"/>
    <w:rsid w:val="001950A6"/>
    <w:rsid w:val="00195154"/>
    <w:rsid w:val="001951EE"/>
    <w:rsid w:val="00195206"/>
    <w:rsid w:val="00195A28"/>
    <w:rsid w:val="00195CD0"/>
    <w:rsid w:val="00195D9E"/>
    <w:rsid w:val="00195E6F"/>
    <w:rsid w:val="00196200"/>
    <w:rsid w:val="0019627E"/>
    <w:rsid w:val="00196556"/>
    <w:rsid w:val="0019664B"/>
    <w:rsid w:val="001969EC"/>
    <w:rsid w:val="00196AAB"/>
    <w:rsid w:val="00196F0F"/>
    <w:rsid w:val="00196F77"/>
    <w:rsid w:val="001970C9"/>
    <w:rsid w:val="001971E7"/>
    <w:rsid w:val="0019738D"/>
    <w:rsid w:val="001974E4"/>
    <w:rsid w:val="00197584"/>
    <w:rsid w:val="00197686"/>
    <w:rsid w:val="0019775A"/>
    <w:rsid w:val="00197998"/>
    <w:rsid w:val="00197CAB"/>
    <w:rsid w:val="00197DF9"/>
    <w:rsid w:val="001A0563"/>
    <w:rsid w:val="001A0BC5"/>
    <w:rsid w:val="001A0E07"/>
    <w:rsid w:val="001A0E78"/>
    <w:rsid w:val="001A0F8D"/>
    <w:rsid w:val="001A0FE9"/>
    <w:rsid w:val="001A1050"/>
    <w:rsid w:val="001A15DF"/>
    <w:rsid w:val="001A16B4"/>
    <w:rsid w:val="001A16D7"/>
    <w:rsid w:val="001A1731"/>
    <w:rsid w:val="001A1987"/>
    <w:rsid w:val="001A1C35"/>
    <w:rsid w:val="001A1CB2"/>
    <w:rsid w:val="001A1DD8"/>
    <w:rsid w:val="001A21A0"/>
    <w:rsid w:val="001A250A"/>
    <w:rsid w:val="001A2564"/>
    <w:rsid w:val="001A26A6"/>
    <w:rsid w:val="001A2846"/>
    <w:rsid w:val="001A2BF0"/>
    <w:rsid w:val="001A2F48"/>
    <w:rsid w:val="001A2FF2"/>
    <w:rsid w:val="001A39E2"/>
    <w:rsid w:val="001A48D4"/>
    <w:rsid w:val="001A4B75"/>
    <w:rsid w:val="001A4C3B"/>
    <w:rsid w:val="001A4CB4"/>
    <w:rsid w:val="001A50ED"/>
    <w:rsid w:val="001A52AE"/>
    <w:rsid w:val="001A541A"/>
    <w:rsid w:val="001A5813"/>
    <w:rsid w:val="001A58ED"/>
    <w:rsid w:val="001A5B0C"/>
    <w:rsid w:val="001A5D50"/>
    <w:rsid w:val="001A5FF8"/>
    <w:rsid w:val="001A6173"/>
    <w:rsid w:val="001A6184"/>
    <w:rsid w:val="001A6B3B"/>
    <w:rsid w:val="001A6C3D"/>
    <w:rsid w:val="001A6CBA"/>
    <w:rsid w:val="001A76B0"/>
    <w:rsid w:val="001A7D34"/>
    <w:rsid w:val="001A7D8F"/>
    <w:rsid w:val="001A7DCA"/>
    <w:rsid w:val="001A7E29"/>
    <w:rsid w:val="001B004D"/>
    <w:rsid w:val="001B0287"/>
    <w:rsid w:val="001B02D9"/>
    <w:rsid w:val="001B0557"/>
    <w:rsid w:val="001B05C3"/>
    <w:rsid w:val="001B0B8C"/>
    <w:rsid w:val="001B0D97"/>
    <w:rsid w:val="001B1060"/>
    <w:rsid w:val="001B1585"/>
    <w:rsid w:val="001B1833"/>
    <w:rsid w:val="001B197C"/>
    <w:rsid w:val="001B1B30"/>
    <w:rsid w:val="001B1E51"/>
    <w:rsid w:val="001B1EA9"/>
    <w:rsid w:val="001B20AA"/>
    <w:rsid w:val="001B21D4"/>
    <w:rsid w:val="001B237F"/>
    <w:rsid w:val="001B276A"/>
    <w:rsid w:val="001B2941"/>
    <w:rsid w:val="001B2AA6"/>
    <w:rsid w:val="001B350B"/>
    <w:rsid w:val="001B3881"/>
    <w:rsid w:val="001B3903"/>
    <w:rsid w:val="001B3C24"/>
    <w:rsid w:val="001B444F"/>
    <w:rsid w:val="001B453D"/>
    <w:rsid w:val="001B46A5"/>
    <w:rsid w:val="001B47A6"/>
    <w:rsid w:val="001B4F28"/>
    <w:rsid w:val="001B4FE6"/>
    <w:rsid w:val="001B5290"/>
    <w:rsid w:val="001B5498"/>
    <w:rsid w:val="001B560F"/>
    <w:rsid w:val="001B5A5D"/>
    <w:rsid w:val="001B5BD1"/>
    <w:rsid w:val="001B5F65"/>
    <w:rsid w:val="001B615C"/>
    <w:rsid w:val="001B6461"/>
    <w:rsid w:val="001B65AB"/>
    <w:rsid w:val="001B6831"/>
    <w:rsid w:val="001B6902"/>
    <w:rsid w:val="001B6D7A"/>
    <w:rsid w:val="001B706A"/>
    <w:rsid w:val="001B7184"/>
    <w:rsid w:val="001B718E"/>
    <w:rsid w:val="001B7241"/>
    <w:rsid w:val="001B72A4"/>
    <w:rsid w:val="001B74E4"/>
    <w:rsid w:val="001B7617"/>
    <w:rsid w:val="001B7763"/>
    <w:rsid w:val="001B7D07"/>
    <w:rsid w:val="001B7F69"/>
    <w:rsid w:val="001C0482"/>
    <w:rsid w:val="001C085B"/>
    <w:rsid w:val="001C14FF"/>
    <w:rsid w:val="001C150D"/>
    <w:rsid w:val="001C160D"/>
    <w:rsid w:val="001C170E"/>
    <w:rsid w:val="001C19C6"/>
    <w:rsid w:val="001C1CE5"/>
    <w:rsid w:val="001C1E33"/>
    <w:rsid w:val="001C1F07"/>
    <w:rsid w:val="001C26AF"/>
    <w:rsid w:val="001C2768"/>
    <w:rsid w:val="001C2F0C"/>
    <w:rsid w:val="001C2F3E"/>
    <w:rsid w:val="001C34C6"/>
    <w:rsid w:val="001C3642"/>
    <w:rsid w:val="001C3701"/>
    <w:rsid w:val="001C3789"/>
    <w:rsid w:val="001C3C78"/>
    <w:rsid w:val="001C3D2A"/>
    <w:rsid w:val="001C3D57"/>
    <w:rsid w:val="001C42ED"/>
    <w:rsid w:val="001C437D"/>
    <w:rsid w:val="001C4622"/>
    <w:rsid w:val="001C4893"/>
    <w:rsid w:val="001C4B05"/>
    <w:rsid w:val="001C4E45"/>
    <w:rsid w:val="001C4EAF"/>
    <w:rsid w:val="001C567A"/>
    <w:rsid w:val="001C5BD9"/>
    <w:rsid w:val="001C662A"/>
    <w:rsid w:val="001C6956"/>
    <w:rsid w:val="001C7157"/>
    <w:rsid w:val="001C77F6"/>
    <w:rsid w:val="001C793C"/>
    <w:rsid w:val="001C7BE3"/>
    <w:rsid w:val="001C7E1A"/>
    <w:rsid w:val="001C7F19"/>
    <w:rsid w:val="001C7F22"/>
    <w:rsid w:val="001C7FD4"/>
    <w:rsid w:val="001D00C6"/>
    <w:rsid w:val="001D0459"/>
    <w:rsid w:val="001D04DA"/>
    <w:rsid w:val="001D056A"/>
    <w:rsid w:val="001D0BB0"/>
    <w:rsid w:val="001D1A81"/>
    <w:rsid w:val="001D1AC1"/>
    <w:rsid w:val="001D1BBC"/>
    <w:rsid w:val="001D1F44"/>
    <w:rsid w:val="001D1F7B"/>
    <w:rsid w:val="001D2024"/>
    <w:rsid w:val="001D2417"/>
    <w:rsid w:val="001D2519"/>
    <w:rsid w:val="001D25CA"/>
    <w:rsid w:val="001D273E"/>
    <w:rsid w:val="001D298E"/>
    <w:rsid w:val="001D2A11"/>
    <w:rsid w:val="001D2B9A"/>
    <w:rsid w:val="001D2FE0"/>
    <w:rsid w:val="001D30DD"/>
    <w:rsid w:val="001D391E"/>
    <w:rsid w:val="001D3B39"/>
    <w:rsid w:val="001D40FA"/>
    <w:rsid w:val="001D4155"/>
    <w:rsid w:val="001D4258"/>
    <w:rsid w:val="001D51BA"/>
    <w:rsid w:val="001D52E6"/>
    <w:rsid w:val="001D53E7"/>
    <w:rsid w:val="001D569B"/>
    <w:rsid w:val="001D56FF"/>
    <w:rsid w:val="001D5841"/>
    <w:rsid w:val="001D58DB"/>
    <w:rsid w:val="001D5A3D"/>
    <w:rsid w:val="001D5ECA"/>
    <w:rsid w:val="001D5EEF"/>
    <w:rsid w:val="001D5F5C"/>
    <w:rsid w:val="001D6342"/>
    <w:rsid w:val="001D6448"/>
    <w:rsid w:val="001D6723"/>
    <w:rsid w:val="001D6844"/>
    <w:rsid w:val="001D6866"/>
    <w:rsid w:val="001D6B1B"/>
    <w:rsid w:val="001D6D53"/>
    <w:rsid w:val="001D70FB"/>
    <w:rsid w:val="001D710B"/>
    <w:rsid w:val="001D718C"/>
    <w:rsid w:val="001D7420"/>
    <w:rsid w:val="001D7C41"/>
    <w:rsid w:val="001D7CE4"/>
    <w:rsid w:val="001E00CE"/>
    <w:rsid w:val="001E022D"/>
    <w:rsid w:val="001E0742"/>
    <w:rsid w:val="001E0C23"/>
    <w:rsid w:val="001E0EDE"/>
    <w:rsid w:val="001E14D8"/>
    <w:rsid w:val="001E184B"/>
    <w:rsid w:val="001E1896"/>
    <w:rsid w:val="001E18B0"/>
    <w:rsid w:val="001E1CDC"/>
    <w:rsid w:val="001E1DC9"/>
    <w:rsid w:val="001E1F08"/>
    <w:rsid w:val="001E1FEB"/>
    <w:rsid w:val="001E2495"/>
    <w:rsid w:val="001E28E0"/>
    <w:rsid w:val="001E2A0C"/>
    <w:rsid w:val="001E2D10"/>
    <w:rsid w:val="001E2D6B"/>
    <w:rsid w:val="001E2D78"/>
    <w:rsid w:val="001E3109"/>
    <w:rsid w:val="001E3471"/>
    <w:rsid w:val="001E35BD"/>
    <w:rsid w:val="001E3C04"/>
    <w:rsid w:val="001E3D79"/>
    <w:rsid w:val="001E416A"/>
    <w:rsid w:val="001E432E"/>
    <w:rsid w:val="001E5187"/>
    <w:rsid w:val="001E5315"/>
    <w:rsid w:val="001E5591"/>
    <w:rsid w:val="001E5863"/>
    <w:rsid w:val="001E58A8"/>
    <w:rsid w:val="001E58E2"/>
    <w:rsid w:val="001E590B"/>
    <w:rsid w:val="001E599C"/>
    <w:rsid w:val="001E5D1E"/>
    <w:rsid w:val="001E5D31"/>
    <w:rsid w:val="001E5D7E"/>
    <w:rsid w:val="001E6581"/>
    <w:rsid w:val="001E68CC"/>
    <w:rsid w:val="001E6A05"/>
    <w:rsid w:val="001E6A17"/>
    <w:rsid w:val="001E6B19"/>
    <w:rsid w:val="001E6BA8"/>
    <w:rsid w:val="001E71EF"/>
    <w:rsid w:val="001E736E"/>
    <w:rsid w:val="001E7424"/>
    <w:rsid w:val="001E776D"/>
    <w:rsid w:val="001E778F"/>
    <w:rsid w:val="001E7AED"/>
    <w:rsid w:val="001F012E"/>
    <w:rsid w:val="001F02D7"/>
    <w:rsid w:val="001F030A"/>
    <w:rsid w:val="001F090D"/>
    <w:rsid w:val="001F0A31"/>
    <w:rsid w:val="001F0DF7"/>
    <w:rsid w:val="001F0E99"/>
    <w:rsid w:val="001F1953"/>
    <w:rsid w:val="001F1CA4"/>
    <w:rsid w:val="001F1DA9"/>
    <w:rsid w:val="001F200C"/>
    <w:rsid w:val="001F206A"/>
    <w:rsid w:val="001F2126"/>
    <w:rsid w:val="001F217B"/>
    <w:rsid w:val="001F2534"/>
    <w:rsid w:val="001F2606"/>
    <w:rsid w:val="001F2F53"/>
    <w:rsid w:val="001F30FA"/>
    <w:rsid w:val="001F3270"/>
    <w:rsid w:val="001F346E"/>
    <w:rsid w:val="001F3506"/>
    <w:rsid w:val="001F3542"/>
    <w:rsid w:val="001F3602"/>
    <w:rsid w:val="001F3819"/>
    <w:rsid w:val="001F3916"/>
    <w:rsid w:val="001F3C1B"/>
    <w:rsid w:val="001F40C0"/>
    <w:rsid w:val="001F419D"/>
    <w:rsid w:val="001F4430"/>
    <w:rsid w:val="001F4508"/>
    <w:rsid w:val="001F4865"/>
    <w:rsid w:val="001F49E0"/>
    <w:rsid w:val="001F4D13"/>
    <w:rsid w:val="001F4F56"/>
    <w:rsid w:val="001F4F5C"/>
    <w:rsid w:val="001F5093"/>
    <w:rsid w:val="001F54C5"/>
    <w:rsid w:val="001F5BED"/>
    <w:rsid w:val="001F5C28"/>
    <w:rsid w:val="001F5E56"/>
    <w:rsid w:val="001F6213"/>
    <w:rsid w:val="001F6269"/>
    <w:rsid w:val="001F662C"/>
    <w:rsid w:val="001F6C68"/>
    <w:rsid w:val="001F6CE2"/>
    <w:rsid w:val="001F7074"/>
    <w:rsid w:val="001F774B"/>
    <w:rsid w:val="001F7753"/>
    <w:rsid w:val="001F7B45"/>
    <w:rsid w:val="001F7B96"/>
    <w:rsid w:val="001F7CFF"/>
    <w:rsid w:val="001F7DE5"/>
    <w:rsid w:val="0020026E"/>
    <w:rsid w:val="00200278"/>
    <w:rsid w:val="00200490"/>
    <w:rsid w:val="002008D8"/>
    <w:rsid w:val="0020124E"/>
    <w:rsid w:val="00201282"/>
    <w:rsid w:val="00201806"/>
    <w:rsid w:val="00201C47"/>
    <w:rsid w:val="00201F3A"/>
    <w:rsid w:val="00201F3B"/>
    <w:rsid w:val="00202279"/>
    <w:rsid w:val="0020239B"/>
    <w:rsid w:val="002026CD"/>
    <w:rsid w:val="00202836"/>
    <w:rsid w:val="00202C07"/>
    <w:rsid w:val="00203649"/>
    <w:rsid w:val="00203F96"/>
    <w:rsid w:val="00203FFB"/>
    <w:rsid w:val="0020425C"/>
    <w:rsid w:val="002045B3"/>
    <w:rsid w:val="002047BC"/>
    <w:rsid w:val="002048D0"/>
    <w:rsid w:val="00204AC5"/>
    <w:rsid w:val="00204C86"/>
    <w:rsid w:val="002051FE"/>
    <w:rsid w:val="0020538A"/>
    <w:rsid w:val="00205504"/>
    <w:rsid w:val="0020550F"/>
    <w:rsid w:val="00205998"/>
    <w:rsid w:val="00205BD8"/>
    <w:rsid w:val="00205DD3"/>
    <w:rsid w:val="002062F2"/>
    <w:rsid w:val="002066DB"/>
    <w:rsid w:val="00206884"/>
    <w:rsid w:val="002069B2"/>
    <w:rsid w:val="00206C2F"/>
    <w:rsid w:val="00206D21"/>
    <w:rsid w:val="00206E0C"/>
    <w:rsid w:val="002071B1"/>
    <w:rsid w:val="00207221"/>
    <w:rsid w:val="0020753C"/>
    <w:rsid w:val="0020787E"/>
    <w:rsid w:val="00207AA8"/>
    <w:rsid w:val="00207FA3"/>
    <w:rsid w:val="0021036E"/>
    <w:rsid w:val="00210B39"/>
    <w:rsid w:val="00210CC0"/>
    <w:rsid w:val="00210D29"/>
    <w:rsid w:val="002117C3"/>
    <w:rsid w:val="002119CB"/>
    <w:rsid w:val="00211B33"/>
    <w:rsid w:val="00211E89"/>
    <w:rsid w:val="00212A6F"/>
    <w:rsid w:val="00212E67"/>
    <w:rsid w:val="00213451"/>
    <w:rsid w:val="002136B1"/>
    <w:rsid w:val="00213A46"/>
    <w:rsid w:val="00213D55"/>
    <w:rsid w:val="00214311"/>
    <w:rsid w:val="002148B5"/>
    <w:rsid w:val="002148C2"/>
    <w:rsid w:val="00214CC2"/>
    <w:rsid w:val="00214D5E"/>
    <w:rsid w:val="00214DA8"/>
    <w:rsid w:val="00215095"/>
    <w:rsid w:val="00215423"/>
    <w:rsid w:val="002154A2"/>
    <w:rsid w:val="002154BB"/>
    <w:rsid w:val="0021565F"/>
    <w:rsid w:val="002156B5"/>
    <w:rsid w:val="002156C9"/>
    <w:rsid w:val="00215786"/>
    <w:rsid w:val="002157D7"/>
    <w:rsid w:val="00215834"/>
    <w:rsid w:val="002158BD"/>
    <w:rsid w:val="002158FA"/>
    <w:rsid w:val="00215CA8"/>
    <w:rsid w:val="00215F6B"/>
    <w:rsid w:val="00215FDB"/>
    <w:rsid w:val="00216AD9"/>
    <w:rsid w:val="00216B4A"/>
    <w:rsid w:val="00216FF6"/>
    <w:rsid w:val="0021722C"/>
    <w:rsid w:val="0021722E"/>
    <w:rsid w:val="00217244"/>
    <w:rsid w:val="00217383"/>
    <w:rsid w:val="00217506"/>
    <w:rsid w:val="0021753C"/>
    <w:rsid w:val="00217884"/>
    <w:rsid w:val="002179EC"/>
    <w:rsid w:val="00217BB7"/>
    <w:rsid w:val="00217FD4"/>
    <w:rsid w:val="002204F4"/>
    <w:rsid w:val="00220600"/>
    <w:rsid w:val="00220992"/>
    <w:rsid w:val="00220A04"/>
    <w:rsid w:val="00220BF9"/>
    <w:rsid w:val="00221130"/>
    <w:rsid w:val="0022152F"/>
    <w:rsid w:val="00221AEA"/>
    <w:rsid w:val="00221C33"/>
    <w:rsid w:val="002223ED"/>
    <w:rsid w:val="002224A5"/>
    <w:rsid w:val="002224DB"/>
    <w:rsid w:val="0022253A"/>
    <w:rsid w:val="00222651"/>
    <w:rsid w:val="00223145"/>
    <w:rsid w:val="00223237"/>
    <w:rsid w:val="00223695"/>
    <w:rsid w:val="00223735"/>
    <w:rsid w:val="002237E5"/>
    <w:rsid w:val="002238C9"/>
    <w:rsid w:val="00223995"/>
    <w:rsid w:val="00223C3F"/>
    <w:rsid w:val="00223FCB"/>
    <w:rsid w:val="002240B8"/>
    <w:rsid w:val="00224289"/>
    <w:rsid w:val="002243EF"/>
    <w:rsid w:val="002246A0"/>
    <w:rsid w:val="00224B71"/>
    <w:rsid w:val="00224D0E"/>
    <w:rsid w:val="00224EBC"/>
    <w:rsid w:val="00224FCD"/>
    <w:rsid w:val="002252C3"/>
    <w:rsid w:val="002253D3"/>
    <w:rsid w:val="0022559F"/>
    <w:rsid w:val="00225612"/>
    <w:rsid w:val="00225BC8"/>
    <w:rsid w:val="00225C54"/>
    <w:rsid w:val="00225E64"/>
    <w:rsid w:val="00225EDB"/>
    <w:rsid w:val="00226064"/>
    <w:rsid w:val="00226492"/>
    <w:rsid w:val="0022768F"/>
    <w:rsid w:val="00227EC0"/>
    <w:rsid w:val="00230765"/>
    <w:rsid w:val="00230D18"/>
    <w:rsid w:val="00231199"/>
    <w:rsid w:val="002312B1"/>
    <w:rsid w:val="00231455"/>
    <w:rsid w:val="00231842"/>
    <w:rsid w:val="002319E4"/>
    <w:rsid w:val="00231A1F"/>
    <w:rsid w:val="00231C8D"/>
    <w:rsid w:val="00231FDD"/>
    <w:rsid w:val="002321B2"/>
    <w:rsid w:val="002321EE"/>
    <w:rsid w:val="00232210"/>
    <w:rsid w:val="00232680"/>
    <w:rsid w:val="00232BC6"/>
    <w:rsid w:val="00232CE3"/>
    <w:rsid w:val="00233252"/>
    <w:rsid w:val="002334D9"/>
    <w:rsid w:val="0023385E"/>
    <w:rsid w:val="00233A21"/>
    <w:rsid w:val="00233BFA"/>
    <w:rsid w:val="00233DF3"/>
    <w:rsid w:val="00234132"/>
    <w:rsid w:val="002346F9"/>
    <w:rsid w:val="00235305"/>
    <w:rsid w:val="00235632"/>
    <w:rsid w:val="0023584C"/>
    <w:rsid w:val="00235872"/>
    <w:rsid w:val="00235AF7"/>
    <w:rsid w:val="00235E57"/>
    <w:rsid w:val="00235F8A"/>
    <w:rsid w:val="00235FA3"/>
    <w:rsid w:val="00236714"/>
    <w:rsid w:val="002368F1"/>
    <w:rsid w:val="00237115"/>
    <w:rsid w:val="002372B6"/>
    <w:rsid w:val="0023759F"/>
    <w:rsid w:val="00237AD4"/>
    <w:rsid w:val="00237F4B"/>
    <w:rsid w:val="002405A9"/>
    <w:rsid w:val="0024075F"/>
    <w:rsid w:val="00240CD2"/>
    <w:rsid w:val="002414D7"/>
    <w:rsid w:val="00241559"/>
    <w:rsid w:val="002419C0"/>
    <w:rsid w:val="002419CE"/>
    <w:rsid w:val="00241EC3"/>
    <w:rsid w:val="00242019"/>
    <w:rsid w:val="002429EC"/>
    <w:rsid w:val="00242AB6"/>
    <w:rsid w:val="00242E3B"/>
    <w:rsid w:val="0024309E"/>
    <w:rsid w:val="0024327F"/>
    <w:rsid w:val="00243518"/>
    <w:rsid w:val="002435B3"/>
    <w:rsid w:val="002435DB"/>
    <w:rsid w:val="00243825"/>
    <w:rsid w:val="00243888"/>
    <w:rsid w:val="00243CEB"/>
    <w:rsid w:val="00243DD1"/>
    <w:rsid w:val="00244B53"/>
    <w:rsid w:val="00244B61"/>
    <w:rsid w:val="00244BA4"/>
    <w:rsid w:val="00244D2B"/>
    <w:rsid w:val="002452BB"/>
    <w:rsid w:val="00245385"/>
    <w:rsid w:val="00245605"/>
    <w:rsid w:val="002456F2"/>
    <w:rsid w:val="002457D4"/>
    <w:rsid w:val="0024587E"/>
    <w:rsid w:val="002458EB"/>
    <w:rsid w:val="00245938"/>
    <w:rsid w:val="0024606D"/>
    <w:rsid w:val="0024648F"/>
    <w:rsid w:val="00247265"/>
    <w:rsid w:val="0024733B"/>
    <w:rsid w:val="002479E5"/>
    <w:rsid w:val="00247A36"/>
    <w:rsid w:val="00247B94"/>
    <w:rsid w:val="00247D04"/>
    <w:rsid w:val="00247D2B"/>
    <w:rsid w:val="00247FA2"/>
    <w:rsid w:val="002500C8"/>
    <w:rsid w:val="002503AD"/>
    <w:rsid w:val="002506B2"/>
    <w:rsid w:val="002507B9"/>
    <w:rsid w:val="00250E12"/>
    <w:rsid w:val="00250F34"/>
    <w:rsid w:val="0025106D"/>
    <w:rsid w:val="0025167D"/>
    <w:rsid w:val="002519BB"/>
    <w:rsid w:val="00251AF4"/>
    <w:rsid w:val="00251E63"/>
    <w:rsid w:val="00251FA4"/>
    <w:rsid w:val="00252157"/>
    <w:rsid w:val="00252822"/>
    <w:rsid w:val="0025286B"/>
    <w:rsid w:val="00252D72"/>
    <w:rsid w:val="00252DDD"/>
    <w:rsid w:val="00252E11"/>
    <w:rsid w:val="00252E53"/>
    <w:rsid w:val="0025352A"/>
    <w:rsid w:val="002536D9"/>
    <w:rsid w:val="00253D86"/>
    <w:rsid w:val="00254115"/>
    <w:rsid w:val="00254128"/>
    <w:rsid w:val="0025417E"/>
    <w:rsid w:val="00254370"/>
    <w:rsid w:val="002543E6"/>
    <w:rsid w:val="002545FE"/>
    <w:rsid w:val="0025466E"/>
    <w:rsid w:val="002549BB"/>
    <w:rsid w:val="00254DF9"/>
    <w:rsid w:val="0025515A"/>
    <w:rsid w:val="00255303"/>
    <w:rsid w:val="00255642"/>
    <w:rsid w:val="00255742"/>
    <w:rsid w:val="00255752"/>
    <w:rsid w:val="002559A3"/>
    <w:rsid w:val="002559E9"/>
    <w:rsid w:val="00255D7F"/>
    <w:rsid w:val="00255E0E"/>
    <w:rsid w:val="002566E4"/>
    <w:rsid w:val="00256820"/>
    <w:rsid w:val="00256C46"/>
    <w:rsid w:val="00256CC5"/>
    <w:rsid w:val="00256DFD"/>
    <w:rsid w:val="00256EC0"/>
    <w:rsid w:val="00257184"/>
    <w:rsid w:val="00257277"/>
    <w:rsid w:val="002572DE"/>
    <w:rsid w:val="00257330"/>
    <w:rsid w:val="002574C9"/>
    <w:rsid w:val="0025753F"/>
    <w:rsid w:val="00257543"/>
    <w:rsid w:val="0025763A"/>
    <w:rsid w:val="00257A0D"/>
    <w:rsid w:val="00257ADB"/>
    <w:rsid w:val="00257BA5"/>
    <w:rsid w:val="00257CC8"/>
    <w:rsid w:val="00257E93"/>
    <w:rsid w:val="002602F1"/>
    <w:rsid w:val="0026071D"/>
    <w:rsid w:val="00260F6E"/>
    <w:rsid w:val="002611BD"/>
    <w:rsid w:val="0026121A"/>
    <w:rsid w:val="002614F9"/>
    <w:rsid w:val="00261666"/>
    <w:rsid w:val="002617E7"/>
    <w:rsid w:val="0026181D"/>
    <w:rsid w:val="00261939"/>
    <w:rsid w:val="00261940"/>
    <w:rsid w:val="00261946"/>
    <w:rsid w:val="002621CA"/>
    <w:rsid w:val="00262855"/>
    <w:rsid w:val="00262B77"/>
    <w:rsid w:val="00263174"/>
    <w:rsid w:val="0026322C"/>
    <w:rsid w:val="00263332"/>
    <w:rsid w:val="00263711"/>
    <w:rsid w:val="00263EC8"/>
    <w:rsid w:val="00264228"/>
    <w:rsid w:val="00264334"/>
    <w:rsid w:val="0026473E"/>
    <w:rsid w:val="00264C49"/>
    <w:rsid w:val="00264F71"/>
    <w:rsid w:val="00264FBF"/>
    <w:rsid w:val="002650EE"/>
    <w:rsid w:val="00265153"/>
    <w:rsid w:val="002652F9"/>
    <w:rsid w:val="002655FC"/>
    <w:rsid w:val="00265A0E"/>
    <w:rsid w:val="00265B2C"/>
    <w:rsid w:val="00265C19"/>
    <w:rsid w:val="00265F59"/>
    <w:rsid w:val="00265FC8"/>
    <w:rsid w:val="00266214"/>
    <w:rsid w:val="00266597"/>
    <w:rsid w:val="00266A84"/>
    <w:rsid w:val="00266AD0"/>
    <w:rsid w:val="00266E7A"/>
    <w:rsid w:val="0026760C"/>
    <w:rsid w:val="002676C5"/>
    <w:rsid w:val="00267A75"/>
    <w:rsid w:val="00267C83"/>
    <w:rsid w:val="00270253"/>
    <w:rsid w:val="002702BF"/>
    <w:rsid w:val="00270813"/>
    <w:rsid w:val="00270853"/>
    <w:rsid w:val="00270AB9"/>
    <w:rsid w:val="0027110F"/>
    <w:rsid w:val="0027117D"/>
    <w:rsid w:val="0027144F"/>
    <w:rsid w:val="0027154B"/>
    <w:rsid w:val="00271813"/>
    <w:rsid w:val="00271C27"/>
    <w:rsid w:val="00271D46"/>
    <w:rsid w:val="00271F3A"/>
    <w:rsid w:val="0027232F"/>
    <w:rsid w:val="00272393"/>
    <w:rsid w:val="002731B7"/>
    <w:rsid w:val="0027321A"/>
    <w:rsid w:val="00273278"/>
    <w:rsid w:val="0027333A"/>
    <w:rsid w:val="0027333F"/>
    <w:rsid w:val="002734C1"/>
    <w:rsid w:val="002737F4"/>
    <w:rsid w:val="002739AC"/>
    <w:rsid w:val="00273AE0"/>
    <w:rsid w:val="00273D78"/>
    <w:rsid w:val="00273F65"/>
    <w:rsid w:val="002743FE"/>
    <w:rsid w:val="0027456E"/>
    <w:rsid w:val="002748CE"/>
    <w:rsid w:val="00274AF2"/>
    <w:rsid w:val="00274CFF"/>
    <w:rsid w:val="00274DBD"/>
    <w:rsid w:val="00275075"/>
    <w:rsid w:val="00275156"/>
    <w:rsid w:val="002752B2"/>
    <w:rsid w:val="00275576"/>
    <w:rsid w:val="00275823"/>
    <w:rsid w:val="00275D8E"/>
    <w:rsid w:val="00276310"/>
    <w:rsid w:val="00276751"/>
    <w:rsid w:val="00276998"/>
    <w:rsid w:val="00276CF8"/>
    <w:rsid w:val="002771F4"/>
    <w:rsid w:val="00277274"/>
    <w:rsid w:val="00277684"/>
    <w:rsid w:val="002776F3"/>
    <w:rsid w:val="00277989"/>
    <w:rsid w:val="00277BBC"/>
    <w:rsid w:val="0028009C"/>
    <w:rsid w:val="002805F5"/>
    <w:rsid w:val="00280751"/>
    <w:rsid w:val="002807E7"/>
    <w:rsid w:val="002815AE"/>
    <w:rsid w:val="0028179F"/>
    <w:rsid w:val="0028187B"/>
    <w:rsid w:val="00281A33"/>
    <w:rsid w:val="00281A9F"/>
    <w:rsid w:val="00281CBF"/>
    <w:rsid w:val="00281E3D"/>
    <w:rsid w:val="00281F30"/>
    <w:rsid w:val="0028207E"/>
    <w:rsid w:val="002824A8"/>
    <w:rsid w:val="002825CF"/>
    <w:rsid w:val="0028280A"/>
    <w:rsid w:val="00282942"/>
    <w:rsid w:val="00282A96"/>
    <w:rsid w:val="00282C8E"/>
    <w:rsid w:val="00282E1C"/>
    <w:rsid w:val="00282E97"/>
    <w:rsid w:val="002833D8"/>
    <w:rsid w:val="0028387A"/>
    <w:rsid w:val="00283C40"/>
    <w:rsid w:val="00283CFB"/>
    <w:rsid w:val="00283DF0"/>
    <w:rsid w:val="002842E5"/>
    <w:rsid w:val="00284385"/>
    <w:rsid w:val="002847EA"/>
    <w:rsid w:val="002849BD"/>
    <w:rsid w:val="00284E0E"/>
    <w:rsid w:val="0028502B"/>
    <w:rsid w:val="002854AE"/>
    <w:rsid w:val="00285534"/>
    <w:rsid w:val="00285ADD"/>
    <w:rsid w:val="00285D8A"/>
    <w:rsid w:val="00286026"/>
    <w:rsid w:val="00286ACD"/>
    <w:rsid w:val="00286B5E"/>
    <w:rsid w:val="00286C17"/>
    <w:rsid w:val="00286CF6"/>
    <w:rsid w:val="002874DA"/>
    <w:rsid w:val="00287838"/>
    <w:rsid w:val="002878C2"/>
    <w:rsid w:val="00287B42"/>
    <w:rsid w:val="00287BF2"/>
    <w:rsid w:val="00287C02"/>
    <w:rsid w:val="00287CC2"/>
    <w:rsid w:val="002907B5"/>
    <w:rsid w:val="002907CA"/>
    <w:rsid w:val="00290D30"/>
    <w:rsid w:val="002913D4"/>
    <w:rsid w:val="00291A74"/>
    <w:rsid w:val="002920E8"/>
    <w:rsid w:val="0029213F"/>
    <w:rsid w:val="002923A3"/>
    <w:rsid w:val="00292460"/>
    <w:rsid w:val="002925AF"/>
    <w:rsid w:val="00292709"/>
    <w:rsid w:val="002927B6"/>
    <w:rsid w:val="00292B48"/>
    <w:rsid w:val="00292CB5"/>
    <w:rsid w:val="00292D2E"/>
    <w:rsid w:val="00292D4E"/>
    <w:rsid w:val="00292E88"/>
    <w:rsid w:val="00292EB7"/>
    <w:rsid w:val="00292FBA"/>
    <w:rsid w:val="00293315"/>
    <w:rsid w:val="002933F1"/>
    <w:rsid w:val="002938DF"/>
    <w:rsid w:val="00293C88"/>
    <w:rsid w:val="00293F22"/>
    <w:rsid w:val="00294814"/>
    <w:rsid w:val="00294C07"/>
    <w:rsid w:val="00294DDD"/>
    <w:rsid w:val="00294F7F"/>
    <w:rsid w:val="0029526A"/>
    <w:rsid w:val="002952AE"/>
    <w:rsid w:val="00295703"/>
    <w:rsid w:val="00295A49"/>
    <w:rsid w:val="00295C44"/>
    <w:rsid w:val="00295E56"/>
    <w:rsid w:val="00296161"/>
    <w:rsid w:val="00296227"/>
    <w:rsid w:val="00296392"/>
    <w:rsid w:val="00296430"/>
    <w:rsid w:val="002965C9"/>
    <w:rsid w:val="002965F7"/>
    <w:rsid w:val="002966D3"/>
    <w:rsid w:val="002968C8"/>
    <w:rsid w:val="002968D4"/>
    <w:rsid w:val="00296B0F"/>
    <w:rsid w:val="00296F44"/>
    <w:rsid w:val="002971E0"/>
    <w:rsid w:val="002972F5"/>
    <w:rsid w:val="0029735D"/>
    <w:rsid w:val="0029738C"/>
    <w:rsid w:val="002976F7"/>
    <w:rsid w:val="0029777D"/>
    <w:rsid w:val="00297B81"/>
    <w:rsid w:val="00297D46"/>
    <w:rsid w:val="00297F52"/>
    <w:rsid w:val="002A0090"/>
    <w:rsid w:val="002A049B"/>
    <w:rsid w:val="002A055E"/>
    <w:rsid w:val="002A0BE9"/>
    <w:rsid w:val="002A0BFC"/>
    <w:rsid w:val="002A0EB1"/>
    <w:rsid w:val="002A1236"/>
    <w:rsid w:val="002A1CFC"/>
    <w:rsid w:val="002A1D3F"/>
    <w:rsid w:val="002A1D4E"/>
    <w:rsid w:val="002A1E64"/>
    <w:rsid w:val="002A1E9D"/>
    <w:rsid w:val="002A1EBD"/>
    <w:rsid w:val="002A22E4"/>
    <w:rsid w:val="002A243D"/>
    <w:rsid w:val="002A246B"/>
    <w:rsid w:val="002A2869"/>
    <w:rsid w:val="002A2CB7"/>
    <w:rsid w:val="002A2D38"/>
    <w:rsid w:val="002A30DC"/>
    <w:rsid w:val="002A31E9"/>
    <w:rsid w:val="002A3506"/>
    <w:rsid w:val="002A3580"/>
    <w:rsid w:val="002A359F"/>
    <w:rsid w:val="002A3A80"/>
    <w:rsid w:val="002A3BC2"/>
    <w:rsid w:val="002A3BC5"/>
    <w:rsid w:val="002A3E11"/>
    <w:rsid w:val="002A3F2B"/>
    <w:rsid w:val="002A3F7E"/>
    <w:rsid w:val="002A421C"/>
    <w:rsid w:val="002A4475"/>
    <w:rsid w:val="002A50E2"/>
    <w:rsid w:val="002A5191"/>
    <w:rsid w:val="002A52CD"/>
    <w:rsid w:val="002A52FD"/>
    <w:rsid w:val="002A5494"/>
    <w:rsid w:val="002A5742"/>
    <w:rsid w:val="002A578E"/>
    <w:rsid w:val="002A5E0D"/>
    <w:rsid w:val="002A5F6E"/>
    <w:rsid w:val="002A5F9B"/>
    <w:rsid w:val="002A6131"/>
    <w:rsid w:val="002A6758"/>
    <w:rsid w:val="002A6836"/>
    <w:rsid w:val="002A6D8D"/>
    <w:rsid w:val="002A79CD"/>
    <w:rsid w:val="002A7B98"/>
    <w:rsid w:val="002A7C3C"/>
    <w:rsid w:val="002B035C"/>
    <w:rsid w:val="002B0488"/>
    <w:rsid w:val="002B0507"/>
    <w:rsid w:val="002B06FA"/>
    <w:rsid w:val="002B098A"/>
    <w:rsid w:val="002B09A0"/>
    <w:rsid w:val="002B0D7D"/>
    <w:rsid w:val="002B0E22"/>
    <w:rsid w:val="002B14DA"/>
    <w:rsid w:val="002B162C"/>
    <w:rsid w:val="002B1AD1"/>
    <w:rsid w:val="002B24D6"/>
    <w:rsid w:val="002B257F"/>
    <w:rsid w:val="002B25C3"/>
    <w:rsid w:val="002B27AA"/>
    <w:rsid w:val="002B29AA"/>
    <w:rsid w:val="002B2CC0"/>
    <w:rsid w:val="002B3246"/>
    <w:rsid w:val="002B325D"/>
    <w:rsid w:val="002B32BD"/>
    <w:rsid w:val="002B3813"/>
    <w:rsid w:val="002B3A66"/>
    <w:rsid w:val="002B404A"/>
    <w:rsid w:val="002B40D6"/>
    <w:rsid w:val="002B44FC"/>
    <w:rsid w:val="002B47AB"/>
    <w:rsid w:val="002B48AF"/>
    <w:rsid w:val="002B4C3B"/>
    <w:rsid w:val="002B4C5D"/>
    <w:rsid w:val="002B4CCE"/>
    <w:rsid w:val="002B5364"/>
    <w:rsid w:val="002B5AFF"/>
    <w:rsid w:val="002B5B18"/>
    <w:rsid w:val="002B62A8"/>
    <w:rsid w:val="002B6460"/>
    <w:rsid w:val="002B6E02"/>
    <w:rsid w:val="002B6F29"/>
    <w:rsid w:val="002B745D"/>
    <w:rsid w:val="002B792E"/>
    <w:rsid w:val="002B7D1B"/>
    <w:rsid w:val="002B7D84"/>
    <w:rsid w:val="002B7E32"/>
    <w:rsid w:val="002B7E67"/>
    <w:rsid w:val="002B7F5E"/>
    <w:rsid w:val="002C0002"/>
    <w:rsid w:val="002C0076"/>
    <w:rsid w:val="002C0163"/>
    <w:rsid w:val="002C019E"/>
    <w:rsid w:val="002C01B5"/>
    <w:rsid w:val="002C04ED"/>
    <w:rsid w:val="002C1462"/>
    <w:rsid w:val="002C148E"/>
    <w:rsid w:val="002C1508"/>
    <w:rsid w:val="002C17E2"/>
    <w:rsid w:val="002C1EDF"/>
    <w:rsid w:val="002C26BE"/>
    <w:rsid w:val="002C2E04"/>
    <w:rsid w:val="002C2EFC"/>
    <w:rsid w:val="002C309B"/>
    <w:rsid w:val="002C30AA"/>
    <w:rsid w:val="002C312B"/>
    <w:rsid w:val="002C327E"/>
    <w:rsid w:val="002C32A1"/>
    <w:rsid w:val="002C33EB"/>
    <w:rsid w:val="002C3A9B"/>
    <w:rsid w:val="002C40BC"/>
    <w:rsid w:val="002C418C"/>
    <w:rsid w:val="002C41A2"/>
    <w:rsid w:val="002C41E6"/>
    <w:rsid w:val="002C4379"/>
    <w:rsid w:val="002C489C"/>
    <w:rsid w:val="002C4A83"/>
    <w:rsid w:val="002C4E85"/>
    <w:rsid w:val="002C4FFA"/>
    <w:rsid w:val="002C5147"/>
    <w:rsid w:val="002C543F"/>
    <w:rsid w:val="002C557D"/>
    <w:rsid w:val="002C5774"/>
    <w:rsid w:val="002C57D5"/>
    <w:rsid w:val="002C5B72"/>
    <w:rsid w:val="002C5BE2"/>
    <w:rsid w:val="002C6379"/>
    <w:rsid w:val="002C6487"/>
    <w:rsid w:val="002C6505"/>
    <w:rsid w:val="002C654C"/>
    <w:rsid w:val="002C6B39"/>
    <w:rsid w:val="002C6D89"/>
    <w:rsid w:val="002C6DE0"/>
    <w:rsid w:val="002C6F23"/>
    <w:rsid w:val="002C6F2F"/>
    <w:rsid w:val="002C705D"/>
    <w:rsid w:val="002C7117"/>
    <w:rsid w:val="002C729A"/>
    <w:rsid w:val="002C738B"/>
    <w:rsid w:val="002C73B1"/>
    <w:rsid w:val="002C73EC"/>
    <w:rsid w:val="002C742F"/>
    <w:rsid w:val="002C7526"/>
    <w:rsid w:val="002C7B94"/>
    <w:rsid w:val="002C7CC9"/>
    <w:rsid w:val="002C7D87"/>
    <w:rsid w:val="002D0387"/>
    <w:rsid w:val="002D05CA"/>
    <w:rsid w:val="002D071A"/>
    <w:rsid w:val="002D078A"/>
    <w:rsid w:val="002D1349"/>
    <w:rsid w:val="002D1567"/>
    <w:rsid w:val="002D1988"/>
    <w:rsid w:val="002D1A9A"/>
    <w:rsid w:val="002D1ACE"/>
    <w:rsid w:val="002D1EE1"/>
    <w:rsid w:val="002D1F37"/>
    <w:rsid w:val="002D2159"/>
    <w:rsid w:val="002D2222"/>
    <w:rsid w:val="002D2262"/>
    <w:rsid w:val="002D25F5"/>
    <w:rsid w:val="002D296C"/>
    <w:rsid w:val="002D29D3"/>
    <w:rsid w:val="002D2D88"/>
    <w:rsid w:val="002D2DC8"/>
    <w:rsid w:val="002D3162"/>
    <w:rsid w:val="002D34B2"/>
    <w:rsid w:val="002D3ADC"/>
    <w:rsid w:val="002D479D"/>
    <w:rsid w:val="002D48B0"/>
    <w:rsid w:val="002D56DD"/>
    <w:rsid w:val="002D58CD"/>
    <w:rsid w:val="002D5AB9"/>
    <w:rsid w:val="002D5B37"/>
    <w:rsid w:val="002D5B62"/>
    <w:rsid w:val="002D5B74"/>
    <w:rsid w:val="002D5E20"/>
    <w:rsid w:val="002D5ED0"/>
    <w:rsid w:val="002D62E1"/>
    <w:rsid w:val="002D6754"/>
    <w:rsid w:val="002D6812"/>
    <w:rsid w:val="002D68B0"/>
    <w:rsid w:val="002D6A57"/>
    <w:rsid w:val="002D6CB2"/>
    <w:rsid w:val="002D7265"/>
    <w:rsid w:val="002D7637"/>
    <w:rsid w:val="002D76ED"/>
    <w:rsid w:val="002D7C39"/>
    <w:rsid w:val="002E077A"/>
    <w:rsid w:val="002E097F"/>
    <w:rsid w:val="002E0CEA"/>
    <w:rsid w:val="002E122F"/>
    <w:rsid w:val="002E13E4"/>
    <w:rsid w:val="002E1533"/>
    <w:rsid w:val="002E166A"/>
    <w:rsid w:val="002E17F2"/>
    <w:rsid w:val="002E1993"/>
    <w:rsid w:val="002E2273"/>
    <w:rsid w:val="002E23F5"/>
    <w:rsid w:val="002E2425"/>
    <w:rsid w:val="002E2586"/>
    <w:rsid w:val="002E29B6"/>
    <w:rsid w:val="002E2AF8"/>
    <w:rsid w:val="002E3031"/>
    <w:rsid w:val="002E3197"/>
    <w:rsid w:val="002E34F9"/>
    <w:rsid w:val="002E388D"/>
    <w:rsid w:val="002E3894"/>
    <w:rsid w:val="002E3928"/>
    <w:rsid w:val="002E44D6"/>
    <w:rsid w:val="002E45B8"/>
    <w:rsid w:val="002E4788"/>
    <w:rsid w:val="002E485C"/>
    <w:rsid w:val="002E492A"/>
    <w:rsid w:val="002E494B"/>
    <w:rsid w:val="002E4BF5"/>
    <w:rsid w:val="002E4E0F"/>
    <w:rsid w:val="002E5351"/>
    <w:rsid w:val="002E53D2"/>
    <w:rsid w:val="002E57FA"/>
    <w:rsid w:val="002E58D5"/>
    <w:rsid w:val="002E5F73"/>
    <w:rsid w:val="002E601C"/>
    <w:rsid w:val="002E6621"/>
    <w:rsid w:val="002E6707"/>
    <w:rsid w:val="002E67CC"/>
    <w:rsid w:val="002E67D4"/>
    <w:rsid w:val="002E68CE"/>
    <w:rsid w:val="002E6D84"/>
    <w:rsid w:val="002E7148"/>
    <w:rsid w:val="002E75AA"/>
    <w:rsid w:val="002E7859"/>
    <w:rsid w:val="002E7A00"/>
    <w:rsid w:val="002E7CAE"/>
    <w:rsid w:val="002F008D"/>
    <w:rsid w:val="002F0298"/>
    <w:rsid w:val="002F0310"/>
    <w:rsid w:val="002F036A"/>
    <w:rsid w:val="002F03A3"/>
    <w:rsid w:val="002F0440"/>
    <w:rsid w:val="002F04E2"/>
    <w:rsid w:val="002F13E4"/>
    <w:rsid w:val="002F1DBF"/>
    <w:rsid w:val="002F22F0"/>
    <w:rsid w:val="002F2341"/>
    <w:rsid w:val="002F2436"/>
    <w:rsid w:val="002F2771"/>
    <w:rsid w:val="002F28EB"/>
    <w:rsid w:val="002F2A51"/>
    <w:rsid w:val="002F2A7D"/>
    <w:rsid w:val="002F2B2D"/>
    <w:rsid w:val="002F2D1C"/>
    <w:rsid w:val="002F2EDE"/>
    <w:rsid w:val="002F3061"/>
    <w:rsid w:val="002F3176"/>
    <w:rsid w:val="002F37A9"/>
    <w:rsid w:val="002F38D2"/>
    <w:rsid w:val="002F39B0"/>
    <w:rsid w:val="002F3C31"/>
    <w:rsid w:val="002F3FDE"/>
    <w:rsid w:val="002F4013"/>
    <w:rsid w:val="002F425A"/>
    <w:rsid w:val="002F4443"/>
    <w:rsid w:val="002F4477"/>
    <w:rsid w:val="002F478A"/>
    <w:rsid w:val="002F4BD7"/>
    <w:rsid w:val="002F4E30"/>
    <w:rsid w:val="002F5138"/>
    <w:rsid w:val="002F52C1"/>
    <w:rsid w:val="002F5400"/>
    <w:rsid w:val="002F5625"/>
    <w:rsid w:val="002F5E78"/>
    <w:rsid w:val="002F6776"/>
    <w:rsid w:val="002F67A1"/>
    <w:rsid w:val="002F68AB"/>
    <w:rsid w:val="002F6921"/>
    <w:rsid w:val="002F6947"/>
    <w:rsid w:val="002F6B61"/>
    <w:rsid w:val="002F6DB1"/>
    <w:rsid w:val="002F6FF0"/>
    <w:rsid w:val="002F7361"/>
    <w:rsid w:val="002F772C"/>
    <w:rsid w:val="002F79FA"/>
    <w:rsid w:val="002F7CC6"/>
    <w:rsid w:val="00300559"/>
    <w:rsid w:val="00300563"/>
    <w:rsid w:val="00300641"/>
    <w:rsid w:val="003009A6"/>
    <w:rsid w:val="00300A80"/>
    <w:rsid w:val="00300AE4"/>
    <w:rsid w:val="00300E5F"/>
    <w:rsid w:val="003018F5"/>
    <w:rsid w:val="00301CE6"/>
    <w:rsid w:val="0030225F"/>
    <w:rsid w:val="00302304"/>
    <w:rsid w:val="003023A9"/>
    <w:rsid w:val="003023B1"/>
    <w:rsid w:val="0030256B"/>
    <w:rsid w:val="00302821"/>
    <w:rsid w:val="00302953"/>
    <w:rsid w:val="00302A07"/>
    <w:rsid w:val="00302B73"/>
    <w:rsid w:val="00302BAD"/>
    <w:rsid w:val="00302F65"/>
    <w:rsid w:val="00303187"/>
    <w:rsid w:val="003032FF"/>
    <w:rsid w:val="00303B33"/>
    <w:rsid w:val="00303CD5"/>
    <w:rsid w:val="00303E8A"/>
    <w:rsid w:val="0030430E"/>
    <w:rsid w:val="00304427"/>
    <w:rsid w:val="003049C6"/>
    <w:rsid w:val="003049FE"/>
    <w:rsid w:val="00304F50"/>
    <w:rsid w:val="0030501F"/>
    <w:rsid w:val="00305176"/>
    <w:rsid w:val="0030529B"/>
    <w:rsid w:val="003053E4"/>
    <w:rsid w:val="00305AF9"/>
    <w:rsid w:val="00305CE4"/>
    <w:rsid w:val="00306257"/>
    <w:rsid w:val="00306494"/>
    <w:rsid w:val="00306A52"/>
    <w:rsid w:val="00306B7F"/>
    <w:rsid w:val="003070F5"/>
    <w:rsid w:val="0030747F"/>
    <w:rsid w:val="003074B5"/>
    <w:rsid w:val="003076CB"/>
    <w:rsid w:val="00307BA1"/>
    <w:rsid w:val="00307E43"/>
    <w:rsid w:val="00310246"/>
    <w:rsid w:val="00310498"/>
    <w:rsid w:val="00310570"/>
    <w:rsid w:val="003106D4"/>
    <w:rsid w:val="00310998"/>
    <w:rsid w:val="00310DD6"/>
    <w:rsid w:val="00310F1D"/>
    <w:rsid w:val="00311494"/>
    <w:rsid w:val="0031149A"/>
    <w:rsid w:val="00311702"/>
    <w:rsid w:val="0031173A"/>
    <w:rsid w:val="00311ABB"/>
    <w:rsid w:val="00311B22"/>
    <w:rsid w:val="00311B6F"/>
    <w:rsid w:val="00311CBF"/>
    <w:rsid w:val="00311D0A"/>
    <w:rsid w:val="00311E82"/>
    <w:rsid w:val="00312104"/>
    <w:rsid w:val="0031257E"/>
    <w:rsid w:val="00312A36"/>
    <w:rsid w:val="00313166"/>
    <w:rsid w:val="003131E1"/>
    <w:rsid w:val="00313372"/>
    <w:rsid w:val="003134FD"/>
    <w:rsid w:val="003135D6"/>
    <w:rsid w:val="00313799"/>
    <w:rsid w:val="003139BA"/>
    <w:rsid w:val="003139DD"/>
    <w:rsid w:val="00313CA5"/>
    <w:rsid w:val="00313DBA"/>
    <w:rsid w:val="00313E2E"/>
    <w:rsid w:val="00313FBA"/>
    <w:rsid w:val="00313FD6"/>
    <w:rsid w:val="00314151"/>
    <w:rsid w:val="003141E7"/>
    <w:rsid w:val="003143BD"/>
    <w:rsid w:val="00314435"/>
    <w:rsid w:val="003144E1"/>
    <w:rsid w:val="00314618"/>
    <w:rsid w:val="00314AA1"/>
    <w:rsid w:val="00314C03"/>
    <w:rsid w:val="00315363"/>
    <w:rsid w:val="003156BD"/>
    <w:rsid w:val="00315768"/>
    <w:rsid w:val="003157E5"/>
    <w:rsid w:val="00315F91"/>
    <w:rsid w:val="00316483"/>
    <w:rsid w:val="00316D73"/>
    <w:rsid w:val="0031725B"/>
    <w:rsid w:val="00317385"/>
    <w:rsid w:val="003175BF"/>
    <w:rsid w:val="003178C8"/>
    <w:rsid w:val="00317AA7"/>
    <w:rsid w:val="00317B0A"/>
    <w:rsid w:val="00317B78"/>
    <w:rsid w:val="003200C2"/>
    <w:rsid w:val="003203ED"/>
    <w:rsid w:val="00320922"/>
    <w:rsid w:val="003209DA"/>
    <w:rsid w:val="00320D28"/>
    <w:rsid w:val="00320E75"/>
    <w:rsid w:val="003214D1"/>
    <w:rsid w:val="00321782"/>
    <w:rsid w:val="00321DC9"/>
    <w:rsid w:val="003223A5"/>
    <w:rsid w:val="00322451"/>
    <w:rsid w:val="003226AA"/>
    <w:rsid w:val="003226BD"/>
    <w:rsid w:val="00322C9F"/>
    <w:rsid w:val="003233BB"/>
    <w:rsid w:val="0032348B"/>
    <w:rsid w:val="0032349B"/>
    <w:rsid w:val="00323533"/>
    <w:rsid w:val="00323EBE"/>
    <w:rsid w:val="00323FAA"/>
    <w:rsid w:val="00324002"/>
    <w:rsid w:val="00324252"/>
    <w:rsid w:val="00324253"/>
    <w:rsid w:val="003243CB"/>
    <w:rsid w:val="00324672"/>
    <w:rsid w:val="003246F7"/>
    <w:rsid w:val="00324714"/>
    <w:rsid w:val="00324766"/>
    <w:rsid w:val="00324BCD"/>
    <w:rsid w:val="00324CA4"/>
    <w:rsid w:val="00324D23"/>
    <w:rsid w:val="00325158"/>
    <w:rsid w:val="0032525A"/>
    <w:rsid w:val="003255F1"/>
    <w:rsid w:val="00325894"/>
    <w:rsid w:val="00325E7B"/>
    <w:rsid w:val="0032614B"/>
    <w:rsid w:val="003262BF"/>
    <w:rsid w:val="00326306"/>
    <w:rsid w:val="00326405"/>
    <w:rsid w:val="003265C0"/>
    <w:rsid w:val="0032698A"/>
    <w:rsid w:val="00326A82"/>
    <w:rsid w:val="0032729B"/>
    <w:rsid w:val="0032754C"/>
    <w:rsid w:val="00327D47"/>
    <w:rsid w:val="00327D77"/>
    <w:rsid w:val="00327DF9"/>
    <w:rsid w:val="00330297"/>
    <w:rsid w:val="00330CAD"/>
    <w:rsid w:val="00330E45"/>
    <w:rsid w:val="00330F00"/>
    <w:rsid w:val="003311BB"/>
    <w:rsid w:val="003311F9"/>
    <w:rsid w:val="00331648"/>
    <w:rsid w:val="00331751"/>
    <w:rsid w:val="0033186A"/>
    <w:rsid w:val="00331880"/>
    <w:rsid w:val="003318A6"/>
    <w:rsid w:val="00331B1D"/>
    <w:rsid w:val="00331DCA"/>
    <w:rsid w:val="00332065"/>
    <w:rsid w:val="003320AD"/>
    <w:rsid w:val="00332DBF"/>
    <w:rsid w:val="00332F83"/>
    <w:rsid w:val="00333000"/>
    <w:rsid w:val="00333615"/>
    <w:rsid w:val="0033392E"/>
    <w:rsid w:val="00333998"/>
    <w:rsid w:val="00333A0C"/>
    <w:rsid w:val="00333D70"/>
    <w:rsid w:val="003340CE"/>
    <w:rsid w:val="003344D1"/>
    <w:rsid w:val="003344D5"/>
    <w:rsid w:val="00334579"/>
    <w:rsid w:val="00334A98"/>
    <w:rsid w:val="00334B2E"/>
    <w:rsid w:val="00334FBF"/>
    <w:rsid w:val="003353A3"/>
    <w:rsid w:val="00335858"/>
    <w:rsid w:val="003361DC"/>
    <w:rsid w:val="00336429"/>
    <w:rsid w:val="003364E9"/>
    <w:rsid w:val="0033676B"/>
    <w:rsid w:val="0033695A"/>
    <w:rsid w:val="00336A3A"/>
    <w:rsid w:val="00336BDA"/>
    <w:rsid w:val="00336EA9"/>
    <w:rsid w:val="003372D4"/>
    <w:rsid w:val="0033731C"/>
    <w:rsid w:val="00337516"/>
    <w:rsid w:val="0033779E"/>
    <w:rsid w:val="0033793F"/>
    <w:rsid w:val="00340008"/>
    <w:rsid w:val="00340149"/>
    <w:rsid w:val="0034037C"/>
    <w:rsid w:val="00340824"/>
    <w:rsid w:val="00340C4E"/>
    <w:rsid w:val="00341781"/>
    <w:rsid w:val="003417C3"/>
    <w:rsid w:val="00341D7D"/>
    <w:rsid w:val="00341EC9"/>
    <w:rsid w:val="00341FF2"/>
    <w:rsid w:val="00342000"/>
    <w:rsid w:val="00342A52"/>
    <w:rsid w:val="00342BD7"/>
    <w:rsid w:val="00342E3A"/>
    <w:rsid w:val="003430D2"/>
    <w:rsid w:val="003432F9"/>
    <w:rsid w:val="0034345F"/>
    <w:rsid w:val="003434B2"/>
    <w:rsid w:val="00343C9C"/>
    <w:rsid w:val="00343E41"/>
    <w:rsid w:val="0034430D"/>
    <w:rsid w:val="0034530B"/>
    <w:rsid w:val="003453AE"/>
    <w:rsid w:val="00345716"/>
    <w:rsid w:val="00345897"/>
    <w:rsid w:val="0034592C"/>
    <w:rsid w:val="003463EF"/>
    <w:rsid w:val="0034676D"/>
    <w:rsid w:val="00346C40"/>
    <w:rsid w:val="00346DB5"/>
    <w:rsid w:val="00346EE8"/>
    <w:rsid w:val="003471E3"/>
    <w:rsid w:val="0034722A"/>
    <w:rsid w:val="003477B1"/>
    <w:rsid w:val="00347B7F"/>
    <w:rsid w:val="003500C6"/>
    <w:rsid w:val="003504A9"/>
    <w:rsid w:val="0035058F"/>
    <w:rsid w:val="003507F4"/>
    <w:rsid w:val="00350A26"/>
    <w:rsid w:val="00350EB7"/>
    <w:rsid w:val="003513F5"/>
    <w:rsid w:val="00351740"/>
    <w:rsid w:val="00351E38"/>
    <w:rsid w:val="0035247D"/>
    <w:rsid w:val="0035256F"/>
    <w:rsid w:val="00352669"/>
    <w:rsid w:val="003526C1"/>
    <w:rsid w:val="003528AF"/>
    <w:rsid w:val="00352A56"/>
    <w:rsid w:val="00352A89"/>
    <w:rsid w:val="00352EAE"/>
    <w:rsid w:val="00353171"/>
    <w:rsid w:val="003532CA"/>
    <w:rsid w:val="003532E1"/>
    <w:rsid w:val="00353B1C"/>
    <w:rsid w:val="003544B1"/>
    <w:rsid w:val="003544C5"/>
    <w:rsid w:val="00354A04"/>
    <w:rsid w:val="00354CD5"/>
    <w:rsid w:val="00354DC2"/>
    <w:rsid w:val="00354F85"/>
    <w:rsid w:val="00355269"/>
    <w:rsid w:val="00355288"/>
    <w:rsid w:val="003554AB"/>
    <w:rsid w:val="003554FB"/>
    <w:rsid w:val="00355BED"/>
    <w:rsid w:val="00355F08"/>
    <w:rsid w:val="00355F8F"/>
    <w:rsid w:val="00356A2F"/>
    <w:rsid w:val="00356BA7"/>
    <w:rsid w:val="00356DBD"/>
    <w:rsid w:val="00357016"/>
    <w:rsid w:val="00357083"/>
    <w:rsid w:val="00357380"/>
    <w:rsid w:val="003576A0"/>
    <w:rsid w:val="003577AC"/>
    <w:rsid w:val="00357985"/>
    <w:rsid w:val="00357A1B"/>
    <w:rsid w:val="00357ADC"/>
    <w:rsid w:val="00357BEC"/>
    <w:rsid w:val="00357D0A"/>
    <w:rsid w:val="00357DC5"/>
    <w:rsid w:val="003601A3"/>
    <w:rsid w:val="00360238"/>
    <w:rsid w:val="003602D9"/>
    <w:rsid w:val="003604CE"/>
    <w:rsid w:val="003604FE"/>
    <w:rsid w:val="003609B0"/>
    <w:rsid w:val="00360EC7"/>
    <w:rsid w:val="0036100C"/>
    <w:rsid w:val="003612DB"/>
    <w:rsid w:val="00361381"/>
    <w:rsid w:val="003615C7"/>
    <w:rsid w:val="0036163F"/>
    <w:rsid w:val="003621FA"/>
    <w:rsid w:val="0036278C"/>
    <w:rsid w:val="003628A2"/>
    <w:rsid w:val="00362F17"/>
    <w:rsid w:val="00363028"/>
    <w:rsid w:val="0036321D"/>
    <w:rsid w:val="00363625"/>
    <w:rsid w:val="0036387E"/>
    <w:rsid w:val="00363919"/>
    <w:rsid w:val="003639B7"/>
    <w:rsid w:val="00363C7E"/>
    <w:rsid w:val="00363D07"/>
    <w:rsid w:val="0036414F"/>
    <w:rsid w:val="00364161"/>
    <w:rsid w:val="003641D2"/>
    <w:rsid w:val="003643EE"/>
    <w:rsid w:val="003648E6"/>
    <w:rsid w:val="00364AB1"/>
    <w:rsid w:val="00365030"/>
    <w:rsid w:val="003655E2"/>
    <w:rsid w:val="00365938"/>
    <w:rsid w:val="00365E5D"/>
    <w:rsid w:val="00365ED2"/>
    <w:rsid w:val="003665D5"/>
    <w:rsid w:val="003666FB"/>
    <w:rsid w:val="00366860"/>
    <w:rsid w:val="0036686E"/>
    <w:rsid w:val="00366BEB"/>
    <w:rsid w:val="00366C38"/>
    <w:rsid w:val="00366D5F"/>
    <w:rsid w:val="003670F9"/>
    <w:rsid w:val="0036766B"/>
    <w:rsid w:val="003676A7"/>
    <w:rsid w:val="00367808"/>
    <w:rsid w:val="00367B5D"/>
    <w:rsid w:val="00367B6E"/>
    <w:rsid w:val="00367C81"/>
    <w:rsid w:val="00367D3C"/>
    <w:rsid w:val="00367DAC"/>
    <w:rsid w:val="00367E1E"/>
    <w:rsid w:val="00367E36"/>
    <w:rsid w:val="00370161"/>
    <w:rsid w:val="003703C7"/>
    <w:rsid w:val="0037044D"/>
    <w:rsid w:val="0037075C"/>
    <w:rsid w:val="00370763"/>
    <w:rsid w:val="003707BD"/>
    <w:rsid w:val="003709A6"/>
    <w:rsid w:val="00370A12"/>
    <w:rsid w:val="00370AA6"/>
    <w:rsid w:val="00370BA7"/>
    <w:rsid w:val="00370E47"/>
    <w:rsid w:val="00370E4A"/>
    <w:rsid w:val="003714F3"/>
    <w:rsid w:val="0037177D"/>
    <w:rsid w:val="00371EDE"/>
    <w:rsid w:val="00372059"/>
    <w:rsid w:val="003720E4"/>
    <w:rsid w:val="003720EC"/>
    <w:rsid w:val="003725F5"/>
    <w:rsid w:val="003727CD"/>
    <w:rsid w:val="003728B2"/>
    <w:rsid w:val="0037297E"/>
    <w:rsid w:val="00372A74"/>
    <w:rsid w:val="00372CD7"/>
    <w:rsid w:val="00372E83"/>
    <w:rsid w:val="00372FF4"/>
    <w:rsid w:val="00373839"/>
    <w:rsid w:val="00373965"/>
    <w:rsid w:val="00373A39"/>
    <w:rsid w:val="00373F96"/>
    <w:rsid w:val="0037411C"/>
    <w:rsid w:val="00374295"/>
    <w:rsid w:val="003742AC"/>
    <w:rsid w:val="003744FD"/>
    <w:rsid w:val="00374514"/>
    <w:rsid w:val="00374544"/>
    <w:rsid w:val="003745A3"/>
    <w:rsid w:val="00374BFD"/>
    <w:rsid w:val="00374CCA"/>
    <w:rsid w:val="00374F4A"/>
    <w:rsid w:val="003750FB"/>
    <w:rsid w:val="0037536E"/>
    <w:rsid w:val="003755E7"/>
    <w:rsid w:val="003759F8"/>
    <w:rsid w:val="00375BFF"/>
    <w:rsid w:val="00375D7F"/>
    <w:rsid w:val="00375FC8"/>
    <w:rsid w:val="0037632D"/>
    <w:rsid w:val="00376574"/>
    <w:rsid w:val="003766E7"/>
    <w:rsid w:val="003766FF"/>
    <w:rsid w:val="0037695A"/>
    <w:rsid w:val="00376BA6"/>
    <w:rsid w:val="00376C22"/>
    <w:rsid w:val="00376DF9"/>
    <w:rsid w:val="0037763A"/>
    <w:rsid w:val="00377CE1"/>
    <w:rsid w:val="00377D1C"/>
    <w:rsid w:val="00377E6B"/>
    <w:rsid w:val="00377EB8"/>
    <w:rsid w:val="00377F74"/>
    <w:rsid w:val="003801B2"/>
    <w:rsid w:val="0038086E"/>
    <w:rsid w:val="003808DE"/>
    <w:rsid w:val="0038096C"/>
    <w:rsid w:val="00380972"/>
    <w:rsid w:val="00380DB8"/>
    <w:rsid w:val="00381089"/>
    <w:rsid w:val="00381140"/>
    <w:rsid w:val="003811C6"/>
    <w:rsid w:val="00381D15"/>
    <w:rsid w:val="00381DE2"/>
    <w:rsid w:val="003823E6"/>
    <w:rsid w:val="003824AA"/>
    <w:rsid w:val="00382558"/>
    <w:rsid w:val="00382A5E"/>
    <w:rsid w:val="00382B3C"/>
    <w:rsid w:val="00382F23"/>
    <w:rsid w:val="0038353E"/>
    <w:rsid w:val="003838F0"/>
    <w:rsid w:val="00383AC4"/>
    <w:rsid w:val="00383AFE"/>
    <w:rsid w:val="00383F38"/>
    <w:rsid w:val="00383F76"/>
    <w:rsid w:val="003840FD"/>
    <w:rsid w:val="00384131"/>
    <w:rsid w:val="00384255"/>
    <w:rsid w:val="003843F6"/>
    <w:rsid w:val="003846CB"/>
    <w:rsid w:val="00384734"/>
    <w:rsid w:val="00384ACC"/>
    <w:rsid w:val="00384C57"/>
    <w:rsid w:val="00384DA7"/>
    <w:rsid w:val="00385382"/>
    <w:rsid w:val="00385634"/>
    <w:rsid w:val="00385BF0"/>
    <w:rsid w:val="00385EFE"/>
    <w:rsid w:val="00385F1F"/>
    <w:rsid w:val="003863BE"/>
    <w:rsid w:val="00386546"/>
    <w:rsid w:val="00386D5B"/>
    <w:rsid w:val="0038753E"/>
    <w:rsid w:val="00387595"/>
    <w:rsid w:val="0038764C"/>
    <w:rsid w:val="00387D31"/>
    <w:rsid w:val="00387D92"/>
    <w:rsid w:val="003901DC"/>
    <w:rsid w:val="0039022A"/>
    <w:rsid w:val="003903A4"/>
    <w:rsid w:val="0039044E"/>
    <w:rsid w:val="00390481"/>
    <w:rsid w:val="003905FF"/>
    <w:rsid w:val="00390B67"/>
    <w:rsid w:val="00390F2D"/>
    <w:rsid w:val="00391126"/>
    <w:rsid w:val="00391264"/>
    <w:rsid w:val="00391431"/>
    <w:rsid w:val="003917F9"/>
    <w:rsid w:val="0039198F"/>
    <w:rsid w:val="00391B98"/>
    <w:rsid w:val="00391C2D"/>
    <w:rsid w:val="0039265D"/>
    <w:rsid w:val="003926D9"/>
    <w:rsid w:val="00392793"/>
    <w:rsid w:val="00392C26"/>
    <w:rsid w:val="00392C93"/>
    <w:rsid w:val="00392ECD"/>
    <w:rsid w:val="0039310E"/>
    <w:rsid w:val="00393369"/>
    <w:rsid w:val="00393511"/>
    <w:rsid w:val="003937DD"/>
    <w:rsid w:val="003939FF"/>
    <w:rsid w:val="00393BE0"/>
    <w:rsid w:val="00393C36"/>
    <w:rsid w:val="00393FB9"/>
    <w:rsid w:val="00394061"/>
    <w:rsid w:val="003941A2"/>
    <w:rsid w:val="0039438E"/>
    <w:rsid w:val="003947A8"/>
    <w:rsid w:val="00394C36"/>
    <w:rsid w:val="00394E22"/>
    <w:rsid w:val="0039559A"/>
    <w:rsid w:val="003958FA"/>
    <w:rsid w:val="00395DE0"/>
    <w:rsid w:val="00395E3B"/>
    <w:rsid w:val="0039662E"/>
    <w:rsid w:val="00396A54"/>
    <w:rsid w:val="00396A74"/>
    <w:rsid w:val="00396D8E"/>
    <w:rsid w:val="00396E83"/>
    <w:rsid w:val="00396EF4"/>
    <w:rsid w:val="00396F54"/>
    <w:rsid w:val="00397116"/>
    <w:rsid w:val="00397932"/>
    <w:rsid w:val="00397A11"/>
    <w:rsid w:val="00397C70"/>
    <w:rsid w:val="00397CE4"/>
    <w:rsid w:val="00397D6E"/>
    <w:rsid w:val="003A0129"/>
    <w:rsid w:val="003A033F"/>
    <w:rsid w:val="003A03FD"/>
    <w:rsid w:val="003A07B7"/>
    <w:rsid w:val="003A0C41"/>
    <w:rsid w:val="003A0E47"/>
    <w:rsid w:val="003A0F38"/>
    <w:rsid w:val="003A0F5B"/>
    <w:rsid w:val="003A120B"/>
    <w:rsid w:val="003A13C5"/>
    <w:rsid w:val="003A1606"/>
    <w:rsid w:val="003A16C9"/>
    <w:rsid w:val="003A1886"/>
    <w:rsid w:val="003A1D1B"/>
    <w:rsid w:val="003A1D9F"/>
    <w:rsid w:val="003A1F80"/>
    <w:rsid w:val="003A2223"/>
    <w:rsid w:val="003A26A0"/>
    <w:rsid w:val="003A27CC"/>
    <w:rsid w:val="003A2828"/>
    <w:rsid w:val="003A2A0F"/>
    <w:rsid w:val="003A2AB8"/>
    <w:rsid w:val="003A31A9"/>
    <w:rsid w:val="003A3482"/>
    <w:rsid w:val="003A3670"/>
    <w:rsid w:val="003A39FE"/>
    <w:rsid w:val="003A3C7D"/>
    <w:rsid w:val="003A3FA1"/>
    <w:rsid w:val="003A40C9"/>
    <w:rsid w:val="003A41FE"/>
    <w:rsid w:val="003A426F"/>
    <w:rsid w:val="003A45A1"/>
    <w:rsid w:val="003A4B53"/>
    <w:rsid w:val="003A4BC0"/>
    <w:rsid w:val="003A4EB0"/>
    <w:rsid w:val="003A5681"/>
    <w:rsid w:val="003A5B0A"/>
    <w:rsid w:val="003A5C12"/>
    <w:rsid w:val="003A5C95"/>
    <w:rsid w:val="003A6439"/>
    <w:rsid w:val="003A67DC"/>
    <w:rsid w:val="003A6A2D"/>
    <w:rsid w:val="003A6A55"/>
    <w:rsid w:val="003A6BAC"/>
    <w:rsid w:val="003A6F44"/>
    <w:rsid w:val="003A6FD1"/>
    <w:rsid w:val="003A70A4"/>
    <w:rsid w:val="003A725C"/>
    <w:rsid w:val="003A7326"/>
    <w:rsid w:val="003A752C"/>
    <w:rsid w:val="003A7A0E"/>
    <w:rsid w:val="003A7B22"/>
    <w:rsid w:val="003A7D2C"/>
    <w:rsid w:val="003A7EF3"/>
    <w:rsid w:val="003B017C"/>
    <w:rsid w:val="003B0E36"/>
    <w:rsid w:val="003B0EBA"/>
    <w:rsid w:val="003B1336"/>
    <w:rsid w:val="003B13D3"/>
    <w:rsid w:val="003B159C"/>
    <w:rsid w:val="003B1B49"/>
    <w:rsid w:val="003B1B6E"/>
    <w:rsid w:val="003B20D8"/>
    <w:rsid w:val="003B24F8"/>
    <w:rsid w:val="003B2533"/>
    <w:rsid w:val="003B25ED"/>
    <w:rsid w:val="003B3135"/>
    <w:rsid w:val="003B3163"/>
    <w:rsid w:val="003B326B"/>
    <w:rsid w:val="003B369F"/>
    <w:rsid w:val="003B36A3"/>
    <w:rsid w:val="003B38E1"/>
    <w:rsid w:val="003B390F"/>
    <w:rsid w:val="003B397C"/>
    <w:rsid w:val="003B3D7A"/>
    <w:rsid w:val="003B3E21"/>
    <w:rsid w:val="003B3E58"/>
    <w:rsid w:val="003B4173"/>
    <w:rsid w:val="003B432D"/>
    <w:rsid w:val="003B44A8"/>
    <w:rsid w:val="003B4702"/>
    <w:rsid w:val="003B5066"/>
    <w:rsid w:val="003B5CDA"/>
    <w:rsid w:val="003B5CDC"/>
    <w:rsid w:val="003B5D8C"/>
    <w:rsid w:val="003B619E"/>
    <w:rsid w:val="003B6440"/>
    <w:rsid w:val="003B64BB"/>
    <w:rsid w:val="003B691B"/>
    <w:rsid w:val="003B69FD"/>
    <w:rsid w:val="003B6C88"/>
    <w:rsid w:val="003B6D9B"/>
    <w:rsid w:val="003B7158"/>
    <w:rsid w:val="003B736D"/>
    <w:rsid w:val="003B7757"/>
    <w:rsid w:val="003B7BAE"/>
    <w:rsid w:val="003B7CE0"/>
    <w:rsid w:val="003B7FD5"/>
    <w:rsid w:val="003B7FE5"/>
    <w:rsid w:val="003C00FA"/>
    <w:rsid w:val="003C0105"/>
    <w:rsid w:val="003C02B6"/>
    <w:rsid w:val="003C0C16"/>
    <w:rsid w:val="003C1134"/>
    <w:rsid w:val="003C11C8"/>
    <w:rsid w:val="003C1519"/>
    <w:rsid w:val="003C1522"/>
    <w:rsid w:val="003C17D1"/>
    <w:rsid w:val="003C1987"/>
    <w:rsid w:val="003C1A4C"/>
    <w:rsid w:val="003C1F32"/>
    <w:rsid w:val="003C2202"/>
    <w:rsid w:val="003C2702"/>
    <w:rsid w:val="003C301F"/>
    <w:rsid w:val="003C336D"/>
    <w:rsid w:val="003C39E6"/>
    <w:rsid w:val="003C3C9A"/>
    <w:rsid w:val="003C3D44"/>
    <w:rsid w:val="003C4D0C"/>
    <w:rsid w:val="003C4DC1"/>
    <w:rsid w:val="003C541A"/>
    <w:rsid w:val="003C5561"/>
    <w:rsid w:val="003C5D86"/>
    <w:rsid w:val="003C5DCB"/>
    <w:rsid w:val="003C6480"/>
    <w:rsid w:val="003C6576"/>
    <w:rsid w:val="003C668E"/>
    <w:rsid w:val="003C6B65"/>
    <w:rsid w:val="003C6BAE"/>
    <w:rsid w:val="003C71B1"/>
    <w:rsid w:val="003C71FE"/>
    <w:rsid w:val="003C7318"/>
    <w:rsid w:val="003C7806"/>
    <w:rsid w:val="003C787D"/>
    <w:rsid w:val="003C797C"/>
    <w:rsid w:val="003C79F4"/>
    <w:rsid w:val="003C7C48"/>
    <w:rsid w:val="003D0299"/>
    <w:rsid w:val="003D06A2"/>
    <w:rsid w:val="003D109F"/>
    <w:rsid w:val="003D11C0"/>
    <w:rsid w:val="003D1731"/>
    <w:rsid w:val="003D1752"/>
    <w:rsid w:val="003D1BE0"/>
    <w:rsid w:val="003D2082"/>
    <w:rsid w:val="003D20F2"/>
    <w:rsid w:val="003D2478"/>
    <w:rsid w:val="003D24C9"/>
    <w:rsid w:val="003D2C38"/>
    <w:rsid w:val="003D2D4E"/>
    <w:rsid w:val="003D2D92"/>
    <w:rsid w:val="003D32DF"/>
    <w:rsid w:val="003D33B8"/>
    <w:rsid w:val="003D37DA"/>
    <w:rsid w:val="003D3A35"/>
    <w:rsid w:val="003D3AB3"/>
    <w:rsid w:val="003D3C45"/>
    <w:rsid w:val="003D40B7"/>
    <w:rsid w:val="003D4568"/>
    <w:rsid w:val="003D45AB"/>
    <w:rsid w:val="003D4B36"/>
    <w:rsid w:val="003D510B"/>
    <w:rsid w:val="003D5138"/>
    <w:rsid w:val="003D520B"/>
    <w:rsid w:val="003D56DA"/>
    <w:rsid w:val="003D57F9"/>
    <w:rsid w:val="003D59F1"/>
    <w:rsid w:val="003D5A9A"/>
    <w:rsid w:val="003D5B1F"/>
    <w:rsid w:val="003D5C80"/>
    <w:rsid w:val="003D5DC6"/>
    <w:rsid w:val="003D620F"/>
    <w:rsid w:val="003D62DE"/>
    <w:rsid w:val="003D680B"/>
    <w:rsid w:val="003D6D89"/>
    <w:rsid w:val="003D70CD"/>
    <w:rsid w:val="003D70F1"/>
    <w:rsid w:val="003D72F2"/>
    <w:rsid w:val="003D736B"/>
    <w:rsid w:val="003D746D"/>
    <w:rsid w:val="003D7C7A"/>
    <w:rsid w:val="003D7D80"/>
    <w:rsid w:val="003E016C"/>
    <w:rsid w:val="003E0AA6"/>
    <w:rsid w:val="003E0C75"/>
    <w:rsid w:val="003E0E41"/>
    <w:rsid w:val="003E13BA"/>
    <w:rsid w:val="003E14D3"/>
    <w:rsid w:val="003E15FA"/>
    <w:rsid w:val="003E174D"/>
    <w:rsid w:val="003E1941"/>
    <w:rsid w:val="003E1A97"/>
    <w:rsid w:val="003E1D8F"/>
    <w:rsid w:val="003E1DB4"/>
    <w:rsid w:val="003E229E"/>
    <w:rsid w:val="003E2758"/>
    <w:rsid w:val="003E28DC"/>
    <w:rsid w:val="003E29DC"/>
    <w:rsid w:val="003E2CA4"/>
    <w:rsid w:val="003E2DAC"/>
    <w:rsid w:val="003E32E1"/>
    <w:rsid w:val="003E3374"/>
    <w:rsid w:val="003E33B2"/>
    <w:rsid w:val="003E345B"/>
    <w:rsid w:val="003E3769"/>
    <w:rsid w:val="003E3886"/>
    <w:rsid w:val="003E3DD1"/>
    <w:rsid w:val="003E3EA0"/>
    <w:rsid w:val="003E433B"/>
    <w:rsid w:val="003E440F"/>
    <w:rsid w:val="003E4589"/>
    <w:rsid w:val="003E4622"/>
    <w:rsid w:val="003E4823"/>
    <w:rsid w:val="003E49FF"/>
    <w:rsid w:val="003E4A1D"/>
    <w:rsid w:val="003E4C26"/>
    <w:rsid w:val="003E53B9"/>
    <w:rsid w:val="003E55E4"/>
    <w:rsid w:val="003E5729"/>
    <w:rsid w:val="003E59B0"/>
    <w:rsid w:val="003E5D6E"/>
    <w:rsid w:val="003E5FF3"/>
    <w:rsid w:val="003E613E"/>
    <w:rsid w:val="003E6415"/>
    <w:rsid w:val="003E65B8"/>
    <w:rsid w:val="003E66E9"/>
    <w:rsid w:val="003E6996"/>
    <w:rsid w:val="003E6A19"/>
    <w:rsid w:val="003E6B89"/>
    <w:rsid w:val="003E7435"/>
    <w:rsid w:val="003E74E3"/>
    <w:rsid w:val="003E7503"/>
    <w:rsid w:val="003E7532"/>
    <w:rsid w:val="003E77EC"/>
    <w:rsid w:val="003E7934"/>
    <w:rsid w:val="003E7DF5"/>
    <w:rsid w:val="003F03AA"/>
    <w:rsid w:val="003F05C7"/>
    <w:rsid w:val="003F06DA"/>
    <w:rsid w:val="003F0735"/>
    <w:rsid w:val="003F0CD9"/>
    <w:rsid w:val="003F0D8D"/>
    <w:rsid w:val="003F0DD9"/>
    <w:rsid w:val="003F0FF0"/>
    <w:rsid w:val="003F11B2"/>
    <w:rsid w:val="003F1348"/>
    <w:rsid w:val="003F14BD"/>
    <w:rsid w:val="003F15BE"/>
    <w:rsid w:val="003F174D"/>
    <w:rsid w:val="003F1B26"/>
    <w:rsid w:val="003F1E84"/>
    <w:rsid w:val="003F1F95"/>
    <w:rsid w:val="003F20D5"/>
    <w:rsid w:val="003F284E"/>
    <w:rsid w:val="003F2C50"/>
    <w:rsid w:val="003F2CD4"/>
    <w:rsid w:val="003F320E"/>
    <w:rsid w:val="003F39FC"/>
    <w:rsid w:val="003F3B11"/>
    <w:rsid w:val="003F3E23"/>
    <w:rsid w:val="003F3E42"/>
    <w:rsid w:val="003F3E8D"/>
    <w:rsid w:val="003F444A"/>
    <w:rsid w:val="003F44D8"/>
    <w:rsid w:val="003F45B6"/>
    <w:rsid w:val="003F47A6"/>
    <w:rsid w:val="003F4939"/>
    <w:rsid w:val="003F516D"/>
    <w:rsid w:val="003F557D"/>
    <w:rsid w:val="003F5617"/>
    <w:rsid w:val="003F5A8A"/>
    <w:rsid w:val="003F5AB3"/>
    <w:rsid w:val="003F5B4F"/>
    <w:rsid w:val="003F5BD3"/>
    <w:rsid w:val="003F62B8"/>
    <w:rsid w:val="003F634B"/>
    <w:rsid w:val="003F63FC"/>
    <w:rsid w:val="003F68A0"/>
    <w:rsid w:val="003F68C0"/>
    <w:rsid w:val="003F6B21"/>
    <w:rsid w:val="003F6BBE"/>
    <w:rsid w:val="003F6DDA"/>
    <w:rsid w:val="003F7053"/>
    <w:rsid w:val="003F7458"/>
    <w:rsid w:val="003F74CC"/>
    <w:rsid w:val="003F7D63"/>
    <w:rsid w:val="004000B5"/>
    <w:rsid w:val="004000E8"/>
    <w:rsid w:val="0040054A"/>
    <w:rsid w:val="00400622"/>
    <w:rsid w:val="00400666"/>
    <w:rsid w:val="004006BF"/>
    <w:rsid w:val="00400752"/>
    <w:rsid w:val="00401520"/>
    <w:rsid w:val="004015F3"/>
    <w:rsid w:val="0040186B"/>
    <w:rsid w:val="004018E6"/>
    <w:rsid w:val="00401D23"/>
    <w:rsid w:val="004023BC"/>
    <w:rsid w:val="0040246A"/>
    <w:rsid w:val="004025E1"/>
    <w:rsid w:val="00402B47"/>
    <w:rsid w:val="00402C58"/>
    <w:rsid w:val="00402E2B"/>
    <w:rsid w:val="00402F0D"/>
    <w:rsid w:val="004030CD"/>
    <w:rsid w:val="0040380D"/>
    <w:rsid w:val="004039C8"/>
    <w:rsid w:val="0040453D"/>
    <w:rsid w:val="00404564"/>
    <w:rsid w:val="0040489F"/>
    <w:rsid w:val="00404929"/>
    <w:rsid w:val="00404AC0"/>
    <w:rsid w:val="004050C1"/>
    <w:rsid w:val="0040512B"/>
    <w:rsid w:val="00405512"/>
    <w:rsid w:val="0040553F"/>
    <w:rsid w:val="00405669"/>
    <w:rsid w:val="00405692"/>
    <w:rsid w:val="00405801"/>
    <w:rsid w:val="00405B5D"/>
    <w:rsid w:val="00405CA5"/>
    <w:rsid w:val="00405D20"/>
    <w:rsid w:val="0040621A"/>
    <w:rsid w:val="00406463"/>
    <w:rsid w:val="004064B9"/>
    <w:rsid w:val="00406501"/>
    <w:rsid w:val="00406540"/>
    <w:rsid w:val="0040664E"/>
    <w:rsid w:val="00406A01"/>
    <w:rsid w:val="00406A86"/>
    <w:rsid w:val="00406AD1"/>
    <w:rsid w:val="00406B15"/>
    <w:rsid w:val="00407CD3"/>
    <w:rsid w:val="00407D3D"/>
    <w:rsid w:val="00407FE7"/>
    <w:rsid w:val="00410134"/>
    <w:rsid w:val="00410443"/>
    <w:rsid w:val="004108B2"/>
    <w:rsid w:val="00410B46"/>
    <w:rsid w:val="00410B72"/>
    <w:rsid w:val="00410C34"/>
    <w:rsid w:val="00410D34"/>
    <w:rsid w:val="00410E6F"/>
    <w:rsid w:val="00410F18"/>
    <w:rsid w:val="00410FF5"/>
    <w:rsid w:val="004111BB"/>
    <w:rsid w:val="004111FF"/>
    <w:rsid w:val="004114AC"/>
    <w:rsid w:val="00411729"/>
    <w:rsid w:val="00411889"/>
    <w:rsid w:val="004118C5"/>
    <w:rsid w:val="0041194B"/>
    <w:rsid w:val="00411CD3"/>
    <w:rsid w:val="00411E99"/>
    <w:rsid w:val="0041208B"/>
    <w:rsid w:val="0041263E"/>
    <w:rsid w:val="00412858"/>
    <w:rsid w:val="00412AFF"/>
    <w:rsid w:val="00412C97"/>
    <w:rsid w:val="00412E88"/>
    <w:rsid w:val="00412F62"/>
    <w:rsid w:val="0041326B"/>
    <w:rsid w:val="004132F8"/>
    <w:rsid w:val="00413634"/>
    <w:rsid w:val="0041371B"/>
    <w:rsid w:val="00413AAC"/>
    <w:rsid w:val="00413D83"/>
    <w:rsid w:val="00413E92"/>
    <w:rsid w:val="00413FB9"/>
    <w:rsid w:val="00414131"/>
    <w:rsid w:val="00414260"/>
    <w:rsid w:val="0041440E"/>
    <w:rsid w:val="00414888"/>
    <w:rsid w:val="004148A7"/>
    <w:rsid w:val="00414ACC"/>
    <w:rsid w:val="00414B40"/>
    <w:rsid w:val="00414BC4"/>
    <w:rsid w:val="00414C11"/>
    <w:rsid w:val="00414E8B"/>
    <w:rsid w:val="00415448"/>
    <w:rsid w:val="0041557B"/>
    <w:rsid w:val="004156A5"/>
    <w:rsid w:val="00415B5B"/>
    <w:rsid w:val="00415CD4"/>
    <w:rsid w:val="00415CEE"/>
    <w:rsid w:val="00415D64"/>
    <w:rsid w:val="00415E24"/>
    <w:rsid w:val="00415F27"/>
    <w:rsid w:val="004164A6"/>
    <w:rsid w:val="00416637"/>
    <w:rsid w:val="00416693"/>
    <w:rsid w:val="004166C3"/>
    <w:rsid w:val="00416917"/>
    <w:rsid w:val="00416E19"/>
    <w:rsid w:val="004176B0"/>
    <w:rsid w:val="00417C82"/>
    <w:rsid w:val="00417CC7"/>
    <w:rsid w:val="004202B9"/>
    <w:rsid w:val="004203F1"/>
    <w:rsid w:val="00420724"/>
    <w:rsid w:val="00420876"/>
    <w:rsid w:val="00420FA6"/>
    <w:rsid w:val="00421105"/>
    <w:rsid w:val="0042145A"/>
    <w:rsid w:val="0042146C"/>
    <w:rsid w:val="00421806"/>
    <w:rsid w:val="004218BD"/>
    <w:rsid w:val="00421929"/>
    <w:rsid w:val="00421C65"/>
    <w:rsid w:val="00421ED1"/>
    <w:rsid w:val="004220A5"/>
    <w:rsid w:val="004229D8"/>
    <w:rsid w:val="00422A72"/>
    <w:rsid w:val="00422AA4"/>
    <w:rsid w:val="00422B2C"/>
    <w:rsid w:val="00422BE1"/>
    <w:rsid w:val="00422C50"/>
    <w:rsid w:val="004230F6"/>
    <w:rsid w:val="0042320F"/>
    <w:rsid w:val="0042365E"/>
    <w:rsid w:val="00423783"/>
    <w:rsid w:val="004239BE"/>
    <w:rsid w:val="00423ACD"/>
    <w:rsid w:val="00423B97"/>
    <w:rsid w:val="00423FA2"/>
    <w:rsid w:val="00424220"/>
    <w:rsid w:val="004242F4"/>
    <w:rsid w:val="00424928"/>
    <w:rsid w:val="00424C1B"/>
    <w:rsid w:val="004252C7"/>
    <w:rsid w:val="004252EC"/>
    <w:rsid w:val="00425619"/>
    <w:rsid w:val="00425ED4"/>
    <w:rsid w:val="004260F8"/>
    <w:rsid w:val="00426116"/>
    <w:rsid w:val="00426306"/>
    <w:rsid w:val="0042681F"/>
    <w:rsid w:val="00426A7B"/>
    <w:rsid w:val="00426B42"/>
    <w:rsid w:val="00426D28"/>
    <w:rsid w:val="00426D9B"/>
    <w:rsid w:val="00426FC2"/>
    <w:rsid w:val="00427248"/>
    <w:rsid w:val="004272B4"/>
    <w:rsid w:val="004276C0"/>
    <w:rsid w:val="0042775B"/>
    <w:rsid w:val="00427854"/>
    <w:rsid w:val="0042794C"/>
    <w:rsid w:val="00427E36"/>
    <w:rsid w:val="0043035D"/>
    <w:rsid w:val="00430536"/>
    <w:rsid w:val="00430A9D"/>
    <w:rsid w:val="00430B0A"/>
    <w:rsid w:val="00430E68"/>
    <w:rsid w:val="00430EAE"/>
    <w:rsid w:val="00431701"/>
    <w:rsid w:val="004319B1"/>
    <w:rsid w:val="00431C4E"/>
    <w:rsid w:val="00431C72"/>
    <w:rsid w:val="004321BA"/>
    <w:rsid w:val="00432222"/>
    <w:rsid w:val="00432633"/>
    <w:rsid w:val="0043294C"/>
    <w:rsid w:val="00432A74"/>
    <w:rsid w:val="00432A7A"/>
    <w:rsid w:val="00432B22"/>
    <w:rsid w:val="00432B6A"/>
    <w:rsid w:val="00432C37"/>
    <w:rsid w:val="00432FF3"/>
    <w:rsid w:val="00433518"/>
    <w:rsid w:val="00433771"/>
    <w:rsid w:val="0043383C"/>
    <w:rsid w:val="0043398A"/>
    <w:rsid w:val="00433C18"/>
    <w:rsid w:val="004348F4"/>
    <w:rsid w:val="00434942"/>
    <w:rsid w:val="00434B54"/>
    <w:rsid w:val="00434BAB"/>
    <w:rsid w:val="00434DD6"/>
    <w:rsid w:val="00434E04"/>
    <w:rsid w:val="00434E18"/>
    <w:rsid w:val="00434EC4"/>
    <w:rsid w:val="00435047"/>
    <w:rsid w:val="00435111"/>
    <w:rsid w:val="00435441"/>
    <w:rsid w:val="00435659"/>
    <w:rsid w:val="004361D2"/>
    <w:rsid w:val="00436252"/>
    <w:rsid w:val="0043635F"/>
    <w:rsid w:val="0043669E"/>
    <w:rsid w:val="00436872"/>
    <w:rsid w:val="00436C61"/>
    <w:rsid w:val="00436F82"/>
    <w:rsid w:val="0043725B"/>
    <w:rsid w:val="004372E4"/>
    <w:rsid w:val="00437376"/>
    <w:rsid w:val="00437447"/>
    <w:rsid w:val="004374DA"/>
    <w:rsid w:val="00437948"/>
    <w:rsid w:val="00437A77"/>
    <w:rsid w:val="00437B29"/>
    <w:rsid w:val="00437C46"/>
    <w:rsid w:val="00437D73"/>
    <w:rsid w:val="004403C2"/>
    <w:rsid w:val="004405FF"/>
    <w:rsid w:val="00440D42"/>
    <w:rsid w:val="0044122D"/>
    <w:rsid w:val="0044166A"/>
    <w:rsid w:val="00441A92"/>
    <w:rsid w:val="00441A97"/>
    <w:rsid w:val="00441CBF"/>
    <w:rsid w:val="004420C3"/>
    <w:rsid w:val="00442382"/>
    <w:rsid w:val="00442879"/>
    <w:rsid w:val="00442AC2"/>
    <w:rsid w:val="00442C78"/>
    <w:rsid w:val="00442EF3"/>
    <w:rsid w:val="0044304C"/>
    <w:rsid w:val="004431DC"/>
    <w:rsid w:val="004432D0"/>
    <w:rsid w:val="0044382C"/>
    <w:rsid w:val="00443EBF"/>
    <w:rsid w:val="00443F01"/>
    <w:rsid w:val="00443F11"/>
    <w:rsid w:val="00444070"/>
    <w:rsid w:val="004441B7"/>
    <w:rsid w:val="004442B8"/>
    <w:rsid w:val="0044446A"/>
    <w:rsid w:val="004445D8"/>
    <w:rsid w:val="00444840"/>
    <w:rsid w:val="00444936"/>
    <w:rsid w:val="00444F56"/>
    <w:rsid w:val="00445771"/>
    <w:rsid w:val="00445800"/>
    <w:rsid w:val="00445B8D"/>
    <w:rsid w:val="004462B8"/>
    <w:rsid w:val="00446488"/>
    <w:rsid w:val="0044722F"/>
    <w:rsid w:val="00447277"/>
    <w:rsid w:val="00447650"/>
    <w:rsid w:val="0044770E"/>
    <w:rsid w:val="0044784B"/>
    <w:rsid w:val="0045053B"/>
    <w:rsid w:val="00450614"/>
    <w:rsid w:val="00450775"/>
    <w:rsid w:val="0045089F"/>
    <w:rsid w:val="00451744"/>
    <w:rsid w:val="004517AA"/>
    <w:rsid w:val="00451B00"/>
    <w:rsid w:val="0045226A"/>
    <w:rsid w:val="00452CAC"/>
    <w:rsid w:val="004531CA"/>
    <w:rsid w:val="00453599"/>
    <w:rsid w:val="004535AF"/>
    <w:rsid w:val="004536A3"/>
    <w:rsid w:val="004536A4"/>
    <w:rsid w:val="004536DD"/>
    <w:rsid w:val="00453705"/>
    <w:rsid w:val="0045378D"/>
    <w:rsid w:val="0045382A"/>
    <w:rsid w:val="004543CE"/>
    <w:rsid w:val="004543D9"/>
    <w:rsid w:val="00454448"/>
    <w:rsid w:val="004544EC"/>
    <w:rsid w:val="00454716"/>
    <w:rsid w:val="0045477B"/>
    <w:rsid w:val="004547CC"/>
    <w:rsid w:val="00454B28"/>
    <w:rsid w:val="00454B4C"/>
    <w:rsid w:val="00454C7C"/>
    <w:rsid w:val="00454DA9"/>
    <w:rsid w:val="00454E7F"/>
    <w:rsid w:val="00454EA7"/>
    <w:rsid w:val="00455040"/>
    <w:rsid w:val="004552E2"/>
    <w:rsid w:val="004553BC"/>
    <w:rsid w:val="0045556F"/>
    <w:rsid w:val="004557F3"/>
    <w:rsid w:val="004558C2"/>
    <w:rsid w:val="00455D82"/>
    <w:rsid w:val="004563C6"/>
    <w:rsid w:val="004565F6"/>
    <w:rsid w:val="004567A1"/>
    <w:rsid w:val="004567A3"/>
    <w:rsid w:val="00456A3A"/>
    <w:rsid w:val="00457013"/>
    <w:rsid w:val="004570C2"/>
    <w:rsid w:val="00457565"/>
    <w:rsid w:val="00457825"/>
    <w:rsid w:val="004578C0"/>
    <w:rsid w:val="00457B0E"/>
    <w:rsid w:val="00457B71"/>
    <w:rsid w:val="00457B77"/>
    <w:rsid w:val="00457DE1"/>
    <w:rsid w:val="00457F77"/>
    <w:rsid w:val="004600BE"/>
    <w:rsid w:val="004602C4"/>
    <w:rsid w:val="0046030B"/>
    <w:rsid w:val="00460595"/>
    <w:rsid w:val="0046069F"/>
    <w:rsid w:val="00461359"/>
    <w:rsid w:val="0046139E"/>
    <w:rsid w:val="004613F1"/>
    <w:rsid w:val="004614A6"/>
    <w:rsid w:val="00461A5B"/>
    <w:rsid w:val="00462315"/>
    <w:rsid w:val="004625DA"/>
    <w:rsid w:val="00462864"/>
    <w:rsid w:val="00462D13"/>
    <w:rsid w:val="00462FEA"/>
    <w:rsid w:val="00463220"/>
    <w:rsid w:val="00463309"/>
    <w:rsid w:val="00463407"/>
    <w:rsid w:val="004634D8"/>
    <w:rsid w:val="00463576"/>
    <w:rsid w:val="004636E6"/>
    <w:rsid w:val="00464077"/>
    <w:rsid w:val="00464540"/>
    <w:rsid w:val="004645ED"/>
    <w:rsid w:val="00464689"/>
    <w:rsid w:val="004649CF"/>
    <w:rsid w:val="00464A39"/>
    <w:rsid w:val="0046596A"/>
    <w:rsid w:val="00465BFA"/>
    <w:rsid w:val="0046633F"/>
    <w:rsid w:val="00466710"/>
    <w:rsid w:val="004669E2"/>
    <w:rsid w:val="00466B07"/>
    <w:rsid w:val="00466BC7"/>
    <w:rsid w:val="00466BCC"/>
    <w:rsid w:val="00466E9D"/>
    <w:rsid w:val="0046712A"/>
    <w:rsid w:val="00467160"/>
    <w:rsid w:val="00467324"/>
    <w:rsid w:val="00467429"/>
    <w:rsid w:val="004674CE"/>
    <w:rsid w:val="0046782A"/>
    <w:rsid w:val="004679E4"/>
    <w:rsid w:val="004679F5"/>
    <w:rsid w:val="00467A8B"/>
    <w:rsid w:val="004702EE"/>
    <w:rsid w:val="00470A78"/>
    <w:rsid w:val="00470C07"/>
    <w:rsid w:val="00470C31"/>
    <w:rsid w:val="00470ECE"/>
    <w:rsid w:val="0047116E"/>
    <w:rsid w:val="0047141B"/>
    <w:rsid w:val="004715F3"/>
    <w:rsid w:val="0047194F"/>
    <w:rsid w:val="00471C06"/>
    <w:rsid w:val="00471DE0"/>
    <w:rsid w:val="004724EC"/>
    <w:rsid w:val="0047255D"/>
    <w:rsid w:val="004725B0"/>
    <w:rsid w:val="00472892"/>
    <w:rsid w:val="00472A84"/>
    <w:rsid w:val="004733CC"/>
    <w:rsid w:val="004733E9"/>
    <w:rsid w:val="004734D0"/>
    <w:rsid w:val="004734E9"/>
    <w:rsid w:val="0047352F"/>
    <w:rsid w:val="004735FD"/>
    <w:rsid w:val="0047391D"/>
    <w:rsid w:val="00473C4A"/>
    <w:rsid w:val="00474133"/>
    <w:rsid w:val="00474248"/>
    <w:rsid w:val="0047454F"/>
    <w:rsid w:val="0047486B"/>
    <w:rsid w:val="0047487A"/>
    <w:rsid w:val="00474FEF"/>
    <w:rsid w:val="0047510A"/>
    <w:rsid w:val="0047525D"/>
    <w:rsid w:val="0047556B"/>
    <w:rsid w:val="0047587B"/>
    <w:rsid w:val="00475B8F"/>
    <w:rsid w:val="00475DBC"/>
    <w:rsid w:val="00475F1D"/>
    <w:rsid w:val="0047617A"/>
    <w:rsid w:val="0047645C"/>
    <w:rsid w:val="00476792"/>
    <w:rsid w:val="00476AE8"/>
    <w:rsid w:val="00476C38"/>
    <w:rsid w:val="00476CD6"/>
    <w:rsid w:val="004770D0"/>
    <w:rsid w:val="00477138"/>
    <w:rsid w:val="00477243"/>
    <w:rsid w:val="0047725C"/>
    <w:rsid w:val="00477279"/>
    <w:rsid w:val="00477768"/>
    <w:rsid w:val="00477861"/>
    <w:rsid w:val="00477A8D"/>
    <w:rsid w:val="00477D9B"/>
    <w:rsid w:val="00480602"/>
    <w:rsid w:val="00480881"/>
    <w:rsid w:val="004808AA"/>
    <w:rsid w:val="004809C2"/>
    <w:rsid w:val="00480CC1"/>
    <w:rsid w:val="00480D15"/>
    <w:rsid w:val="0048179D"/>
    <w:rsid w:val="00481B17"/>
    <w:rsid w:val="00481C43"/>
    <w:rsid w:val="00481FC8"/>
    <w:rsid w:val="0048226E"/>
    <w:rsid w:val="0048240B"/>
    <w:rsid w:val="00482593"/>
    <w:rsid w:val="00482598"/>
    <w:rsid w:val="004828FD"/>
    <w:rsid w:val="00482ACE"/>
    <w:rsid w:val="00482B51"/>
    <w:rsid w:val="00482F69"/>
    <w:rsid w:val="00482FDD"/>
    <w:rsid w:val="0048324C"/>
    <w:rsid w:val="00483333"/>
    <w:rsid w:val="00483602"/>
    <w:rsid w:val="004836C8"/>
    <w:rsid w:val="004837E2"/>
    <w:rsid w:val="00483F99"/>
    <w:rsid w:val="00484EAE"/>
    <w:rsid w:val="004855E1"/>
    <w:rsid w:val="00485732"/>
    <w:rsid w:val="004857DE"/>
    <w:rsid w:val="004857F7"/>
    <w:rsid w:val="00486368"/>
    <w:rsid w:val="00486878"/>
    <w:rsid w:val="004869FB"/>
    <w:rsid w:val="00486AAF"/>
    <w:rsid w:val="00486F19"/>
    <w:rsid w:val="004872F7"/>
    <w:rsid w:val="004874F8"/>
    <w:rsid w:val="00487520"/>
    <w:rsid w:val="00487BE9"/>
    <w:rsid w:val="00487EEE"/>
    <w:rsid w:val="00490133"/>
    <w:rsid w:val="004903DB"/>
    <w:rsid w:val="004907BE"/>
    <w:rsid w:val="004909BF"/>
    <w:rsid w:val="00490B0B"/>
    <w:rsid w:val="00491086"/>
    <w:rsid w:val="0049177A"/>
    <w:rsid w:val="00491BAC"/>
    <w:rsid w:val="00491BCB"/>
    <w:rsid w:val="004920F9"/>
    <w:rsid w:val="00492278"/>
    <w:rsid w:val="00492490"/>
    <w:rsid w:val="004924A3"/>
    <w:rsid w:val="00492A4D"/>
    <w:rsid w:val="00492BC5"/>
    <w:rsid w:val="00492DE6"/>
    <w:rsid w:val="00492ECA"/>
    <w:rsid w:val="0049308C"/>
    <w:rsid w:val="004936F2"/>
    <w:rsid w:val="0049372F"/>
    <w:rsid w:val="00493C0E"/>
    <w:rsid w:val="00493CDE"/>
    <w:rsid w:val="00493D6A"/>
    <w:rsid w:val="00493E48"/>
    <w:rsid w:val="00493FBE"/>
    <w:rsid w:val="004941D4"/>
    <w:rsid w:val="00494355"/>
    <w:rsid w:val="00494C6D"/>
    <w:rsid w:val="00494FAA"/>
    <w:rsid w:val="0049534B"/>
    <w:rsid w:val="004953A9"/>
    <w:rsid w:val="00495711"/>
    <w:rsid w:val="00495979"/>
    <w:rsid w:val="00495A69"/>
    <w:rsid w:val="00495BFB"/>
    <w:rsid w:val="00495C29"/>
    <w:rsid w:val="00495EB7"/>
    <w:rsid w:val="00495ED7"/>
    <w:rsid w:val="004960CF"/>
    <w:rsid w:val="0049620A"/>
    <w:rsid w:val="004964F1"/>
    <w:rsid w:val="0049658F"/>
    <w:rsid w:val="00496889"/>
    <w:rsid w:val="00496CD2"/>
    <w:rsid w:val="00496FA2"/>
    <w:rsid w:val="00496FDB"/>
    <w:rsid w:val="004970D0"/>
    <w:rsid w:val="00497569"/>
    <w:rsid w:val="00497895"/>
    <w:rsid w:val="00497A47"/>
    <w:rsid w:val="00497C63"/>
    <w:rsid w:val="00497E83"/>
    <w:rsid w:val="00497F70"/>
    <w:rsid w:val="00497FCA"/>
    <w:rsid w:val="004A003E"/>
    <w:rsid w:val="004A0117"/>
    <w:rsid w:val="004A0867"/>
    <w:rsid w:val="004A0F55"/>
    <w:rsid w:val="004A1159"/>
    <w:rsid w:val="004A11BC"/>
    <w:rsid w:val="004A11CC"/>
    <w:rsid w:val="004A16BC"/>
    <w:rsid w:val="004A205A"/>
    <w:rsid w:val="004A2796"/>
    <w:rsid w:val="004A2882"/>
    <w:rsid w:val="004A2947"/>
    <w:rsid w:val="004A2B94"/>
    <w:rsid w:val="004A304D"/>
    <w:rsid w:val="004A31AD"/>
    <w:rsid w:val="004A3533"/>
    <w:rsid w:val="004A38BD"/>
    <w:rsid w:val="004A3EC5"/>
    <w:rsid w:val="004A3F65"/>
    <w:rsid w:val="004A433E"/>
    <w:rsid w:val="004A449D"/>
    <w:rsid w:val="004A467B"/>
    <w:rsid w:val="004A49E5"/>
    <w:rsid w:val="004A4B78"/>
    <w:rsid w:val="004A4FD3"/>
    <w:rsid w:val="004A50E2"/>
    <w:rsid w:val="004A58EA"/>
    <w:rsid w:val="004A59B3"/>
    <w:rsid w:val="004A5C97"/>
    <w:rsid w:val="004A6169"/>
    <w:rsid w:val="004A63A8"/>
    <w:rsid w:val="004A67B0"/>
    <w:rsid w:val="004A68DD"/>
    <w:rsid w:val="004A6B07"/>
    <w:rsid w:val="004A7114"/>
    <w:rsid w:val="004B0000"/>
    <w:rsid w:val="004B07AF"/>
    <w:rsid w:val="004B0838"/>
    <w:rsid w:val="004B08AA"/>
    <w:rsid w:val="004B0900"/>
    <w:rsid w:val="004B0FC6"/>
    <w:rsid w:val="004B12FA"/>
    <w:rsid w:val="004B137B"/>
    <w:rsid w:val="004B139A"/>
    <w:rsid w:val="004B15D1"/>
    <w:rsid w:val="004B1891"/>
    <w:rsid w:val="004B1A66"/>
    <w:rsid w:val="004B1B57"/>
    <w:rsid w:val="004B278F"/>
    <w:rsid w:val="004B2C4C"/>
    <w:rsid w:val="004B2D98"/>
    <w:rsid w:val="004B2DB4"/>
    <w:rsid w:val="004B344C"/>
    <w:rsid w:val="004B3E81"/>
    <w:rsid w:val="004B3F2C"/>
    <w:rsid w:val="004B446B"/>
    <w:rsid w:val="004B45CC"/>
    <w:rsid w:val="004B45D4"/>
    <w:rsid w:val="004B4650"/>
    <w:rsid w:val="004B4871"/>
    <w:rsid w:val="004B48E3"/>
    <w:rsid w:val="004B520E"/>
    <w:rsid w:val="004B52AB"/>
    <w:rsid w:val="004B5312"/>
    <w:rsid w:val="004B53D5"/>
    <w:rsid w:val="004B5A82"/>
    <w:rsid w:val="004B60F6"/>
    <w:rsid w:val="004B64C9"/>
    <w:rsid w:val="004B6F6A"/>
    <w:rsid w:val="004B78AC"/>
    <w:rsid w:val="004B78D1"/>
    <w:rsid w:val="004B7C06"/>
    <w:rsid w:val="004B7C0C"/>
    <w:rsid w:val="004B7E90"/>
    <w:rsid w:val="004B7F56"/>
    <w:rsid w:val="004C07B8"/>
    <w:rsid w:val="004C083D"/>
    <w:rsid w:val="004C0D9D"/>
    <w:rsid w:val="004C0ECE"/>
    <w:rsid w:val="004C0F75"/>
    <w:rsid w:val="004C1C96"/>
    <w:rsid w:val="004C1D31"/>
    <w:rsid w:val="004C265C"/>
    <w:rsid w:val="004C2E07"/>
    <w:rsid w:val="004C2EF7"/>
    <w:rsid w:val="004C33B9"/>
    <w:rsid w:val="004C340B"/>
    <w:rsid w:val="004C35F2"/>
    <w:rsid w:val="004C3898"/>
    <w:rsid w:val="004C3A0D"/>
    <w:rsid w:val="004C3BBC"/>
    <w:rsid w:val="004C44A6"/>
    <w:rsid w:val="004C4534"/>
    <w:rsid w:val="004C4659"/>
    <w:rsid w:val="004C471B"/>
    <w:rsid w:val="004C4748"/>
    <w:rsid w:val="004C47C9"/>
    <w:rsid w:val="004C4E67"/>
    <w:rsid w:val="004C4E9C"/>
    <w:rsid w:val="004C5508"/>
    <w:rsid w:val="004C5852"/>
    <w:rsid w:val="004C596C"/>
    <w:rsid w:val="004C5F08"/>
    <w:rsid w:val="004C601A"/>
    <w:rsid w:val="004C61EC"/>
    <w:rsid w:val="004C6280"/>
    <w:rsid w:val="004C654B"/>
    <w:rsid w:val="004C66A5"/>
    <w:rsid w:val="004C6B91"/>
    <w:rsid w:val="004C6BAD"/>
    <w:rsid w:val="004C6D07"/>
    <w:rsid w:val="004C6D42"/>
    <w:rsid w:val="004C70B7"/>
    <w:rsid w:val="004C714A"/>
    <w:rsid w:val="004C7B52"/>
    <w:rsid w:val="004C7B69"/>
    <w:rsid w:val="004C7B88"/>
    <w:rsid w:val="004C7CA1"/>
    <w:rsid w:val="004C7E39"/>
    <w:rsid w:val="004C7E86"/>
    <w:rsid w:val="004C7FFA"/>
    <w:rsid w:val="004D0043"/>
    <w:rsid w:val="004D0226"/>
    <w:rsid w:val="004D044C"/>
    <w:rsid w:val="004D0469"/>
    <w:rsid w:val="004D0694"/>
    <w:rsid w:val="004D087E"/>
    <w:rsid w:val="004D0BF4"/>
    <w:rsid w:val="004D0DDD"/>
    <w:rsid w:val="004D0FD8"/>
    <w:rsid w:val="004D1616"/>
    <w:rsid w:val="004D17CE"/>
    <w:rsid w:val="004D1AF3"/>
    <w:rsid w:val="004D2033"/>
    <w:rsid w:val="004D208A"/>
    <w:rsid w:val="004D218A"/>
    <w:rsid w:val="004D2230"/>
    <w:rsid w:val="004D24EB"/>
    <w:rsid w:val="004D2CE1"/>
    <w:rsid w:val="004D36B1"/>
    <w:rsid w:val="004D36CD"/>
    <w:rsid w:val="004D3986"/>
    <w:rsid w:val="004D3F23"/>
    <w:rsid w:val="004D451C"/>
    <w:rsid w:val="004D46AA"/>
    <w:rsid w:val="004D4A49"/>
    <w:rsid w:val="004D4B74"/>
    <w:rsid w:val="004D4C89"/>
    <w:rsid w:val="004D4D4A"/>
    <w:rsid w:val="004D4E4B"/>
    <w:rsid w:val="004D4E50"/>
    <w:rsid w:val="004D53CF"/>
    <w:rsid w:val="004D54D6"/>
    <w:rsid w:val="004D56E0"/>
    <w:rsid w:val="004D58E2"/>
    <w:rsid w:val="004D59CE"/>
    <w:rsid w:val="004D5A1D"/>
    <w:rsid w:val="004D5D13"/>
    <w:rsid w:val="004D5D99"/>
    <w:rsid w:val="004D678D"/>
    <w:rsid w:val="004D6BE1"/>
    <w:rsid w:val="004D7AFB"/>
    <w:rsid w:val="004D7DE4"/>
    <w:rsid w:val="004D7EBD"/>
    <w:rsid w:val="004E0121"/>
    <w:rsid w:val="004E01F7"/>
    <w:rsid w:val="004E081D"/>
    <w:rsid w:val="004E0E44"/>
    <w:rsid w:val="004E1367"/>
    <w:rsid w:val="004E1B0C"/>
    <w:rsid w:val="004E1EB8"/>
    <w:rsid w:val="004E1FA4"/>
    <w:rsid w:val="004E2282"/>
    <w:rsid w:val="004E2680"/>
    <w:rsid w:val="004E28F9"/>
    <w:rsid w:val="004E2AD0"/>
    <w:rsid w:val="004E2AF2"/>
    <w:rsid w:val="004E2B11"/>
    <w:rsid w:val="004E2B91"/>
    <w:rsid w:val="004E2BBA"/>
    <w:rsid w:val="004E2D14"/>
    <w:rsid w:val="004E31D4"/>
    <w:rsid w:val="004E32B9"/>
    <w:rsid w:val="004E3335"/>
    <w:rsid w:val="004E336F"/>
    <w:rsid w:val="004E35DD"/>
    <w:rsid w:val="004E3845"/>
    <w:rsid w:val="004E3B8C"/>
    <w:rsid w:val="004E3FE0"/>
    <w:rsid w:val="004E4172"/>
    <w:rsid w:val="004E41FE"/>
    <w:rsid w:val="004E462E"/>
    <w:rsid w:val="004E468C"/>
    <w:rsid w:val="004E49C8"/>
    <w:rsid w:val="004E4D9F"/>
    <w:rsid w:val="004E4DFD"/>
    <w:rsid w:val="004E56DC"/>
    <w:rsid w:val="004E58E8"/>
    <w:rsid w:val="004E5A58"/>
    <w:rsid w:val="004E5BC2"/>
    <w:rsid w:val="004E5CEF"/>
    <w:rsid w:val="004E6271"/>
    <w:rsid w:val="004E63B7"/>
    <w:rsid w:val="004E65BA"/>
    <w:rsid w:val="004E675F"/>
    <w:rsid w:val="004E6A96"/>
    <w:rsid w:val="004E6ABB"/>
    <w:rsid w:val="004E6C9E"/>
    <w:rsid w:val="004E6DDC"/>
    <w:rsid w:val="004E7408"/>
    <w:rsid w:val="004E75E3"/>
    <w:rsid w:val="004E76DC"/>
    <w:rsid w:val="004E76F4"/>
    <w:rsid w:val="004E774B"/>
    <w:rsid w:val="004E7992"/>
    <w:rsid w:val="004E7C43"/>
    <w:rsid w:val="004E7E1C"/>
    <w:rsid w:val="004E7EEF"/>
    <w:rsid w:val="004F01A9"/>
    <w:rsid w:val="004F025D"/>
    <w:rsid w:val="004F02FF"/>
    <w:rsid w:val="004F0416"/>
    <w:rsid w:val="004F0790"/>
    <w:rsid w:val="004F0867"/>
    <w:rsid w:val="004F0938"/>
    <w:rsid w:val="004F0A5A"/>
    <w:rsid w:val="004F0B4E"/>
    <w:rsid w:val="004F0B6C"/>
    <w:rsid w:val="004F0C79"/>
    <w:rsid w:val="004F0D15"/>
    <w:rsid w:val="004F1581"/>
    <w:rsid w:val="004F18F6"/>
    <w:rsid w:val="004F1AD9"/>
    <w:rsid w:val="004F1B5B"/>
    <w:rsid w:val="004F2078"/>
    <w:rsid w:val="004F2249"/>
    <w:rsid w:val="004F232E"/>
    <w:rsid w:val="004F2A84"/>
    <w:rsid w:val="004F2DE8"/>
    <w:rsid w:val="004F335B"/>
    <w:rsid w:val="004F3A2D"/>
    <w:rsid w:val="004F42CC"/>
    <w:rsid w:val="004F4582"/>
    <w:rsid w:val="004F461A"/>
    <w:rsid w:val="004F4665"/>
    <w:rsid w:val="004F47C0"/>
    <w:rsid w:val="004F49DF"/>
    <w:rsid w:val="004F4DA3"/>
    <w:rsid w:val="004F4E9D"/>
    <w:rsid w:val="004F50E6"/>
    <w:rsid w:val="004F52CF"/>
    <w:rsid w:val="004F61A6"/>
    <w:rsid w:val="004F6347"/>
    <w:rsid w:val="004F63BA"/>
    <w:rsid w:val="004F63CA"/>
    <w:rsid w:val="004F68B7"/>
    <w:rsid w:val="004F6F06"/>
    <w:rsid w:val="004F7601"/>
    <w:rsid w:val="004F7649"/>
    <w:rsid w:val="004F7F38"/>
    <w:rsid w:val="0050004D"/>
    <w:rsid w:val="0050025D"/>
    <w:rsid w:val="005008DD"/>
    <w:rsid w:val="00500B04"/>
    <w:rsid w:val="00500C12"/>
    <w:rsid w:val="005012AA"/>
    <w:rsid w:val="005013C7"/>
    <w:rsid w:val="00501772"/>
    <w:rsid w:val="00501976"/>
    <w:rsid w:val="00501A2A"/>
    <w:rsid w:val="005021F3"/>
    <w:rsid w:val="00502483"/>
    <w:rsid w:val="0050256E"/>
    <w:rsid w:val="005026DC"/>
    <w:rsid w:val="00502927"/>
    <w:rsid w:val="005029CF"/>
    <w:rsid w:val="0050348E"/>
    <w:rsid w:val="00503663"/>
    <w:rsid w:val="0050381D"/>
    <w:rsid w:val="00503855"/>
    <w:rsid w:val="00503C20"/>
    <w:rsid w:val="0050415F"/>
    <w:rsid w:val="00504193"/>
    <w:rsid w:val="005045A0"/>
    <w:rsid w:val="00504FB0"/>
    <w:rsid w:val="0050531A"/>
    <w:rsid w:val="00505397"/>
    <w:rsid w:val="0050581D"/>
    <w:rsid w:val="00505FCA"/>
    <w:rsid w:val="00506053"/>
    <w:rsid w:val="005062DE"/>
    <w:rsid w:val="00506493"/>
    <w:rsid w:val="00506557"/>
    <w:rsid w:val="005065B7"/>
    <w:rsid w:val="0050677A"/>
    <w:rsid w:val="00506CD1"/>
    <w:rsid w:val="00506DF0"/>
    <w:rsid w:val="0050700A"/>
    <w:rsid w:val="005075C9"/>
    <w:rsid w:val="005076BC"/>
    <w:rsid w:val="005079E2"/>
    <w:rsid w:val="00507D48"/>
    <w:rsid w:val="00510152"/>
    <w:rsid w:val="005104F1"/>
    <w:rsid w:val="0051060E"/>
    <w:rsid w:val="005108D8"/>
    <w:rsid w:val="005108F6"/>
    <w:rsid w:val="00510C4C"/>
    <w:rsid w:val="00510D96"/>
    <w:rsid w:val="005110B0"/>
    <w:rsid w:val="005110B3"/>
    <w:rsid w:val="005116F9"/>
    <w:rsid w:val="0051188E"/>
    <w:rsid w:val="00511D60"/>
    <w:rsid w:val="00511DBA"/>
    <w:rsid w:val="005124CD"/>
    <w:rsid w:val="005126D6"/>
    <w:rsid w:val="00512957"/>
    <w:rsid w:val="00512AC4"/>
    <w:rsid w:val="00512CFD"/>
    <w:rsid w:val="00512FF8"/>
    <w:rsid w:val="005132BB"/>
    <w:rsid w:val="005134EE"/>
    <w:rsid w:val="00513841"/>
    <w:rsid w:val="00513ABA"/>
    <w:rsid w:val="00513C80"/>
    <w:rsid w:val="00513F07"/>
    <w:rsid w:val="005141E3"/>
    <w:rsid w:val="00514290"/>
    <w:rsid w:val="005142E5"/>
    <w:rsid w:val="005143EA"/>
    <w:rsid w:val="005145A2"/>
    <w:rsid w:val="005149CC"/>
    <w:rsid w:val="00514BBD"/>
    <w:rsid w:val="00514DAD"/>
    <w:rsid w:val="00514EDE"/>
    <w:rsid w:val="00515121"/>
    <w:rsid w:val="00515150"/>
    <w:rsid w:val="00515166"/>
    <w:rsid w:val="005153A7"/>
    <w:rsid w:val="00515502"/>
    <w:rsid w:val="00515C94"/>
    <w:rsid w:val="00515D59"/>
    <w:rsid w:val="00515F6F"/>
    <w:rsid w:val="00516122"/>
    <w:rsid w:val="005162D3"/>
    <w:rsid w:val="005162FD"/>
    <w:rsid w:val="0051635A"/>
    <w:rsid w:val="0051676F"/>
    <w:rsid w:val="00516B78"/>
    <w:rsid w:val="00516D3D"/>
    <w:rsid w:val="00516F7A"/>
    <w:rsid w:val="00516FCA"/>
    <w:rsid w:val="00517223"/>
    <w:rsid w:val="00517A17"/>
    <w:rsid w:val="00517AF6"/>
    <w:rsid w:val="005200E0"/>
    <w:rsid w:val="00520201"/>
    <w:rsid w:val="005206E6"/>
    <w:rsid w:val="005208E1"/>
    <w:rsid w:val="00520C30"/>
    <w:rsid w:val="00520CB2"/>
    <w:rsid w:val="00520EBB"/>
    <w:rsid w:val="00521658"/>
    <w:rsid w:val="005216BC"/>
    <w:rsid w:val="005219CF"/>
    <w:rsid w:val="00521A59"/>
    <w:rsid w:val="00521F56"/>
    <w:rsid w:val="0052215E"/>
    <w:rsid w:val="005223FB"/>
    <w:rsid w:val="00522A0A"/>
    <w:rsid w:val="00522D4A"/>
    <w:rsid w:val="00522E6F"/>
    <w:rsid w:val="0052314A"/>
    <w:rsid w:val="005236EE"/>
    <w:rsid w:val="0052371D"/>
    <w:rsid w:val="0052398C"/>
    <w:rsid w:val="005246F8"/>
    <w:rsid w:val="00524925"/>
    <w:rsid w:val="005249A7"/>
    <w:rsid w:val="005249F8"/>
    <w:rsid w:val="00524D43"/>
    <w:rsid w:val="00524EFD"/>
    <w:rsid w:val="0052509B"/>
    <w:rsid w:val="00525277"/>
    <w:rsid w:val="0052577D"/>
    <w:rsid w:val="00525EE2"/>
    <w:rsid w:val="00525F93"/>
    <w:rsid w:val="0052602B"/>
    <w:rsid w:val="0052606D"/>
    <w:rsid w:val="0052647A"/>
    <w:rsid w:val="00526586"/>
    <w:rsid w:val="00526682"/>
    <w:rsid w:val="005269E6"/>
    <w:rsid w:val="00526B43"/>
    <w:rsid w:val="00526D1A"/>
    <w:rsid w:val="005271EE"/>
    <w:rsid w:val="005275AE"/>
    <w:rsid w:val="00527908"/>
    <w:rsid w:val="0053063F"/>
    <w:rsid w:val="0053070C"/>
    <w:rsid w:val="00530886"/>
    <w:rsid w:val="00530969"/>
    <w:rsid w:val="005309A8"/>
    <w:rsid w:val="00530DE1"/>
    <w:rsid w:val="00530E12"/>
    <w:rsid w:val="00531008"/>
    <w:rsid w:val="00531084"/>
    <w:rsid w:val="005311AC"/>
    <w:rsid w:val="005311B6"/>
    <w:rsid w:val="005312A6"/>
    <w:rsid w:val="005319C0"/>
    <w:rsid w:val="00531A78"/>
    <w:rsid w:val="00531BFA"/>
    <w:rsid w:val="00531C6B"/>
    <w:rsid w:val="00531DAC"/>
    <w:rsid w:val="00531F00"/>
    <w:rsid w:val="005320CD"/>
    <w:rsid w:val="005327B5"/>
    <w:rsid w:val="0053324A"/>
    <w:rsid w:val="00533264"/>
    <w:rsid w:val="005333F3"/>
    <w:rsid w:val="0053382F"/>
    <w:rsid w:val="00533B2C"/>
    <w:rsid w:val="00533FA6"/>
    <w:rsid w:val="00534072"/>
    <w:rsid w:val="005340BB"/>
    <w:rsid w:val="005340F6"/>
    <w:rsid w:val="005342B6"/>
    <w:rsid w:val="00534990"/>
    <w:rsid w:val="00534B59"/>
    <w:rsid w:val="00534C41"/>
    <w:rsid w:val="005350A1"/>
    <w:rsid w:val="00535746"/>
    <w:rsid w:val="00535753"/>
    <w:rsid w:val="005358EA"/>
    <w:rsid w:val="00535A5D"/>
    <w:rsid w:val="00536077"/>
    <w:rsid w:val="005366BC"/>
    <w:rsid w:val="005366DC"/>
    <w:rsid w:val="00536759"/>
    <w:rsid w:val="005368F4"/>
    <w:rsid w:val="00536AC7"/>
    <w:rsid w:val="00536DDA"/>
    <w:rsid w:val="00536ED7"/>
    <w:rsid w:val="005370AE"/>
    <w:rsid w:val="0053738D"/>
    <w:rsid w:val="00537642"/>
    <w:rsid w:val="0053784F"/>
    <w:rsid w:val="005379DC"/>
    <w:rsid w:val="00537A78"/>
    <w:rsid w:val="00537C62"/>
    <w:rsid w:val="005403F1"/>
    <w:rsid w:val="005404D0"/>
    <w:rsid w:val="005407E8"/>
    <w:rsid w:val="005409D6"/>
    <w:rsid w:val="00540D05"/>
    <w:rsid w:val="00540FAD"/>
    <w:rsid w:val="005412AB"/>
    <w:rsid w:val="0054136E"/>
    <w:rsid w:val="005414EB"/>
    <w:rsid w:val="00541D01"/>
    <w:rsid w:val="0054200D"/>
    <w:rsid w:val="005424B4"/>
    <w:rsid w:val="005425FF"/>
    <w:rsid w:val="00543072"/>
    <w:rsid w:val="005431DB"/>
    <w:rsid w:val="005433A5"/>
    <w:rsid w:val="00543C3E"/>
    <w:rsid w:val="00543EB0"/>
    <w:rsid w:val="00544B31"/>
    <w:rsid w:val="00544D26"/>
    <w:rsid w:val="00544DD8"/>
    <w:rsid w:val="005452AD"/>
    <w:rsid w:val="00545371"/>
    <w:rsid w:val="0054575E"/>
    <w:rsid w:val="005459DB"/>
    <w:rsid w:val="00545B72"/>
    <w:rsid w:val="005467CB"/>
    <w:rsid w:val="00546970"/>
    <w:rsid w:val="00546F7E"/>
    <w:rsid w:val="00547580"/>
    <w:rsid w:val="0054763A"/>
    <w:rsid w:val="0054778B"/>
    <w:rsid w:val="00547895"/>
    <w:rsid w:val="00547DB5"/>
    <w:rsid w:val="00547E26"/>
    <w:rsid w:val="00547F9D"/>
    <w:rsid w:val="0055012B"/>
    <w:rsid w:val="00550159"/>
    <w:rsid w:val="00550708"/>
    <w:rsid w:val="00550DE4"/>
    <w:rsid w:val="00550E92"/>
    <w:rsid w:val="00551029"/>
    <w:rsid w:val="0055138D"/>
    <w:rsid w:val="005514AA"/>
    <w:rsid w:val="005515A4"/>
    <w:rsid w:val="00551A5C"/>
    <w:rsid w:val="00551C14"/>
    <w:rsid w:val="00551C3A"/>
    <w:rsid w:val="00551E5C"/>
    <w:rsid w:val="00551EA7"/>
    <w:rsid w:val="00551FD2"/>
    <w:rsid w:val="0055213D"/>
    <w:rsid w:val="00552494"/>
    <w:rsid w:val="0055249D"/>
    <w:rsid w:val="0055261B"/>
    <w:rsid w:val="005528DB"/>
    <w:rsid w:val="005528EA"/>
    <w:rsid w:val="00552DC0"/>
    <w:rsid w:val="00552FD3"/>
    <w:rsid w:val="005535F9"/>
    <w:rsid w:val="00553A8D"/>
    <w:rsid w:val="00553B7B"/>
    <w:rsid w:val="00553D01"/>
    <w:rsid w:val="00553D35"/>
    <w:rsid w:val="00553DF3"/>
    <w:rsid w:val="005542BC"/>
    <w:rsid w:val="00554332"/>
    <w:rsid w:val="0055440E"/>
    <w:rsid w:val="0055498D"/>
    <w:rsid w:val="00554CB7"/>
    <w:rsid w:val="00554DF2"/>
    <w:rsid w:val="00554E19"/>
    <w:rsid w:val="00554E59"/>
    <w:rsid w:val="00554EA5"/>
    <w:rsid w:val="00555673"/>
    <w:rsid w:val="005557A8"/>
    <w:rsid w:val="0055600D"/>
    <w:rsid w:val="0055605D"/>
    <w:rsid w:val="00556B1A"/>
    <w:rsid w:val="00556CE2"/>
    <w:rsid w:val="00556D87"/>
    <w:rsid w:val="00557595"/>
    <w:rsid w:val="005578AE"/>
    <w:rsid w:val="0056056E"/>
    <w:rsid w:val="00560A32"/>
    <w:rsid w:val="00560C78"/>
    <w:rsid w:val="00560D0D"/>
    <w:rsid w:val="00560D55"/>
    <w:rsid w:val="0056121F"/>
    <w:rsid w:val="005612A1"/>
    <w:rsid w:val="0056160F"/>
    <w:rsid w:val="0056166A"/>
    <w:rsid w:val="0056177F"/>
    <w:rsid w:val="0056178F"/>
    <w:rsid w:val="005617A3"/>
    <w:rsid w:val="00561AE9"/>
    <w:rsid w:val="005622C4"/>
    <w:rsid w:val="0056241A"/>
    <w:rsid w:val="005626BE"/>
    <w:rsid w:val="00562840"/>
    <w:rsid w:val="00562AF1"/>
    <w:rsid w:val="00562B0A"/>
    <w:rsid w:val="00562B14"/>
    <w:rsid w:val="00562C2A"/>
    <w:rsid w:val="00562E3D"/>
    <w:rsid w:val="00562FB2"/>
    <w:rsid w:val="00563153"/>
    <w:rsid w:val="0056345D"/>
    <w:rsid w:val="00563571"/>
    <w:rsid w:val="005637D8"/>
    <w:rsid w:val="005637EA"/>
    <w:rsid w:val="005639C9"/>
    <w:rsid w:val="00564E73"/>
    <w:rsid w:val="00564F8B"/>
    <w:rsid w:val="00564FC1"/>
    <w:rsid w:val="0056595F"/>
    <w:rsid w:val="00565C0D"/>
    <w:rsid w:val="00565C5E"/>
    <w:rsid w:val="00566348"/>
    <w:rsid w:val="0056668F"/>
    <w:rsid w:val="005666B3"/>
    <w:rsid w:val="005667AD"/>
    <w:rsid w:val="00566876"/>
    <w:rsid w:val="005669FA"/>
    <w:rsid w:val="00566B3B"/>
    <w:rsid w:val="00566BEB"/>
    <w:rsid w:val="00566D3E"/>
    <w:rsid w:val="00566EF7"/>
    <w:rsid w:val="005670D6"/>
    <w:rsid w:val="005674BB"/>
    <w:rsid w:val="005677A4"/>
    <w:rsid w:val="0057014D"/>
    <w:rsid w:val="00570310"/>
    <w:rsid w:val="00570638"/>
    <w:rsid w:val="00570E50"/>
    <w:rsid w:val="00570F90"/>
    <w:rsid w:val="00571068"/>
    <w:rsid w:val="00571386"/>
    <w:rsid w:val="005715DF"/>
    <w:rsid w:val="0057166A"/>
    <w:rsid w:val="0057188D"/>
    <w:rsid w:val="00571C38"/>
    <w:rsid w:val="00571D05"/>
    <w:rsid w:val="00571D16"/>
    <w:rsid w:val="00571D9C"/>
    <w:rsid w:val="00571F8F"/>
    <w:rsid w:val="00572392"/>
    <w:rsid w:val="00572505"/>
    <w:rsid w:val="005725BA"/>
    <w:rsid w:val="0057261D"/>
    <w:rsid w:val="005729D8"/>
    <w:rsid w:val="00572AC7"/>
    <w:rsid w:val="00572BDC"/>
    <w:rsid w:val="00572F18"/>
    <w:rsid w:val="00572F5B"/>
    <w:rsid w:val="0057309F"/>
    <w:rsid w:val="005734BC"/>
    <w:rsid w:val="0057393A"/>
    <w:rsid w:val="00573A04"/>
    <w:rsid w:val="00573B17"/>
    <w:rsid w:val="00573D42"/>
    <w:rsid w:val="00573F4A"/>
    <w:rsid w:val="005741B7"/>
    <w:rsid w:val="00574419"/>
    <w:rsid w:val="00574700"/>
    <w:rsid w:val="00574D81"/>
    <w:rsid w:val="00574FA7"/>
    <w:rsid w:val="00574FCC"/>
    <w:rsid w:val="0057505B"/>
    <w:rsid w:val="00575340"/>
    <w:rsid w:val="00575404"/>
    <w:rsid w:val="0057567A"/>
    <w:rsid w:val="00575B9D"/>
    <w:rsid w:val="00575C70"/>
    <w:rsid w:val="00575E50"/>
    <w:rsid w:val="00576156"/>
    <w:rsid w:val="00576325"/>
    <w:rsid w:val="00576A27"/>
    <w:rsid w:val="00576C1C"/>
    <w:rsid w:val="00576FEA"/>
    <w:rsid w:val="0057788A"/>
    <w:rsid w:val="00577E0D"/>
    <w:rsid w:val="005800EE"/>
    <w:rsid w:val="0058042A"/>
    <w:rsid w:val="0058051D"/>
    <w:rsid w:val="00580580"/>
    <w:rsid w:val="0058067A"/>
    <w:rsid w:val="00580B1E"/>
    <w:rsid w:val="00580CEF"/>
    <w:rsid w:val="00580E9C"/>
    <w:rsid w:val="005814B3"/>
    <w:rsid w:val="005815C0"/>
    <w:rsid w:val="00581822"/>
    <w:rsid w:val="00581C21"/>
    <w:rsid w:val="00582157"/>
    <w:rsid w:val="0058223C"/>
    <w:rsid w:val="0058240C"/>
    <w:rsid w:val="00582559"/>
    <w:rsid w:val="005827AE"/>
    <w:rsid w:val="00582809"/>
    <w:rsid w:val="005829F8"/>
    <w:rsid w:val="00582B50"/>
    <w:rsid w:val="00582FDC"/>
    <w:rsid w:val="005835DB"/>
    <w:rsid w:val="00583A42"/>
    <w:rsid w:val="00583C9E"/>
    <w:rsid w:val="00583DD5"/>
    <w:rsid w:val="00583FD5"/>
    <w:rsid w:val="00583FDB"/>
    <w:rsid w:val="005841C2"/>
    <w:rsid w:val="0058420D"/>
    <w:rsid w:val="005842DC"/>
    <w:rsid w:val="005842F5"/>
    <w:rsid w:val="00584771"/>
    <w:rsid w:val="00584916"/>
    <w:rsid w:val="00584947"/>
    <w:rsid w:val="005849BB"/>
    <w:rsid w:val="00584B2D"/>
    <w:rsid w:val="00584B93"/>
    <w:rsid w:val="00585081"/>
    <w:rsid w:val="00585109"/>
    <w:rsid w:val="005851CD"/>
    <w:rsid w:val="00585238"/>
    <w:rsid w:val="005853E4"/>
    <w:rsid w:val="00585538"/>
    <w:rsid w:val="005855DF"/>
    <w:rsid w:val="005858D1"/>
    <w:rsid w:val="00585B53"/>
    <w:rsid w:val="00585B5D"/>
    <w:rsid w:val="00585EAA"/>
    <w:rsid w:val="005866B0"/>
    <w:rsid w:val="00586998"/>
    <w:rsid w:val="00586E9F"/>
    <w:rsid w:val="005870F2"/>
    <w:rsid w:val="0058798C"/>
    <w:rsid w:val="005879F4"/>
    <w:rsid w:val="00587C5F"/>
    <w:rsid w:val="00587D03"/>
    <w:rsid w:val="00587F91"/>
    <w:rsid w:val="005900FA"/>
    <w:rsid w:val="005905FA"/>
    <w:rsid w:val="0059128A"/>
    <w:rsid w:val="00591D12"/>
    <w:rsid w:val="00591EF6"/>
    <w:rsid w:val="005922B6"/>
    <w:rsid w:val="0059244D"/>
    <w:rsid w:val="00592456"/>
    <w:rsid w:val="005925BD"/>
    <w:rsid w:val="00592837"/>
    <w:rsid w:val="005928F7"/>
    <w:rsid w:val="005929EE"/>
    <w:rsid w:val="00592C15"/>
    <w:rsid w:val="00592EA8"/>
    <w:rsid w:val="005935A4"/>
    <w:rsid w:val="00593725"/>
    <w:rsid w:val="00593C1B"/>
    <w:rsid w:val="00593C35"/>
    <w:rsid w:val="00593D03"/>
    <w:rsid w:val="00593D2F"/>
    <w:rsid w:val="00593DCD"/>
    <w:rsid w:val="005940EA"/>
    <w:rsid w:val="0059454E"/>
    <w:rsid w:val="00594597"/>
    <w:rsid w:val="00594667"/>
    <w:rsid w:val="005948C2"/>
    <w:rsid w:val="00594A60"/>
    <w:rsid w:val="00594D49"/>
    <w:rsid w:val="00594EAF"/>
    <w:rsid w:val="00595122"/>
    <w:rsid w:val="00595523"/>
    <w:rsid w:val="00595AF2"/>
    <w:rsid w:val="00595BF4"/>
    <w:rsid w:val="00595DCA"/>
    <w:rsid w:val="005967A7"/>
    <w:rsid w:val="00596F84"/>
    <w:rsid w:val="00597280"/>
    <w:rsid w:val="0059750F"/>
    <w:rsid w:val="005975B8"/>
    <w:rsid w:val="005975C3"/>
    <w:rsid w:val="0059761C"/>
    <w:rsid w:val="0059769B"/>
    <w:rsid w:val="0059779B"/>
    <w:rsid w:val="00597854"/>
    <w:rsid w:val="005979C9"/>
    <w:rsid w:val="005979F4"/>
    <w:rsid w:val="00597AD1"/>
    <w:rsid w:val="00597C59"/>
    <w:rsid w:val="00597C75"/>
    <w:rsid w:val="00597DD8"/>
    <w:rsid w:val="005A00BF"/>
    <w:rsid w:val="005A00E3"/>
    <w:rsid w:val="005A0201"/>
    <w:rsid w:val="005A020B"/>
    <w:rsid w:val="005A04EC"/>
    <w:rsid w:val="005A08E9"/>
    <w:rsid w:val="005A0B55"/>
    <w:rsid w:val="005A0BA9"/>
    <w:rsid w:val="005A1643"/>
    <w:rsid w:val="005A1796"/>
    <w:rsid w:val="005A17C7"/>
    <w:rsid w:val="005A1896"/>
    <w:rsid w:val="005A1A70"/>
    <w:rsid w:val="005A1E0B"/>
    <w:rsid w:val="005A209A"/>
    <w:rsid w:val="005A28A3"/>
    <w:rsid w:val="005A2CA5"/>
    <w:rsid w:val="005A3049"/>
    <w:rsid w:val="005A30D2"/>
    <w:rsid w:val="005A3111"/>
    <w:rsid w:val="005A3175"/>
    <w:rsid w:val="005A327B"/>
    <w:rsid w:val="005A3396"/>
    <w:rsid w:val="005A3530"/>
    <w:rsid w:val="005A36EA"/>
    <w:rsid w:val="005A380B"/>
    <w:rsid w:val="005A3A8E"/>
    <w:rsid w:val="005A427E"/>
    <w:rsid w:val="005A4477"/>
    <w:rsid w:val="005A4528"/>
    <w:rsid w:val="005A47EF"/>
    <w:rsid w:val="005A4832"/>
    <w:rsid w:val="005A488E"/>
    <w:rsid w:val="005A48D7"/>
    <w:rsid w:val="005A491A"/>
    <w:rsid w:val="005A49B9"/>
    <w:rsid w:val="005A49E8"/>
    <w:rsid w:val="005A4C92"/>
    <w:rsid w:val="005A4F27"/>
    <w:rsid w:val="005A4F89"/>
    <w:rsid w:val="005A5615"/>
    <w:rsid w:val="005A5C36"/>
    <w:rsid w:val="005A5D42"/>
    <w:rsid w:val="005A6281"/>
    <w:rsid w:val="005A662D"/>
    <w:rsid w:val="005A6B9A"/>
    <w:rsid w:val="005A7310"/>
    <w:rsid w:val="005A742F"/>
    <w:rsid w:val="005A765A"/>
    <w:rsid w:val="005A7678"/>
    <w:rsid w:val="005A7743"/>
    <w:rsid w:val="005A7851"/>
    <w:rsid w:val="005A786A"/>
    <w:rsid w:val="005A78F3"/>
    <w:rsid w:val="005A7B2E"/>
    <w:rsid w:val="005A7D2F"/>
    <w:rsid w:val="005B01DB"/>
    <w:rsid w:val="005B030F"/>
    <w:rsid w:val="005B0535"/>
    <w:rsid w:val="005B0A89"/>
    <w:rsid w:val="005B1409"/>
    <w:rsid w:val="005B1567"/>
    <w:rsid w:val="005B156D"/>
    <w:rsid w:val="005B1E9D"/>
    <w:rsid w:val="005B20C9"/>
    <w:rsid w:val="005B20D7"/>
    <w:rsid w:val="005B235E"/>
    <w:rsid w:val="005B251C"/>
    <w:rsid w:val="005B3327"/>
    <w:rsid w:val="005B35D7"/>
    <w:rsid w:val="005B392A"/>
    <w:rsid w:val="005B3AA3"/>
    <w:rsid w:val="005B4138"/>
    <w:rsid w:val="005B4197"/>
    <w:rsid w:val="005B42A6"/>
    <w:rsid w:val="005B4366"/>
    <w:rsid w:val="005B4751"/>
    <w:rsid w:val="005B482F"/>
    <w:rsid w:val="005B4B97"/>
    <w:rsid w:val="005B4EB4"/>
    <w:rsid w:val="005B5277"/>
    <w:rsid w:val="005B5297"/>
    <w:rsid w:val="005B5392"/>
    <w:rsid w:val="005B539A"/>
    <w:rsid w:val="005B53A8"/>
    <w:rsid w:val="005B54AB"/>
    <w:rsid w:val="005B5753"/>
    <w:rsid w:val="005B597C"/>
    <w:rsid w:val="005B65A0"/>
    <w:rsid w:val="005B69D8"/>
    <w:rsid w:val="005B6A69"/>
    <w:rsid w:val="005B6B05"/>
    <w:rsid w:val="005B6B19"/>
    <w:rsid w:val="005B6B6D"/>
    <w:rsid w:val="005B6B76"/>
    <w:rsid w:val="005B6CDD"/>
    <w:rsid w:val="005B6D7F"/>
    <w:rsid w:val="005B6F83"/>
    <w:rsid w:val="005B787A"/>
    <w:rsid w:val="005B78BA"/>
    <w:rsid w:val="005C0AAF"/>
    <w:rsid w:val="005C0C52"/>
    <w:rsid w:val="005C114D"/>
    <w:rsid w:val="005C11EB"/>
    <w:rsid w:val="005C1832"/>
    <w:rsid w:val="005C1B88"/>
    <w:rsid w:val="005C1E6A"/>
    <w:rsid w:val="005C23C0"/>
    <w:rsid w:val="005C2958"/>
    <w:rsid w:val="005C2E8A"/>
    <w:rsid w:val="005C2F3F"/>
    <w:rsid w:val="005C4492"/>
    <w:rsid w:val="005C461E"/>
    <w:rsid w:val="005C485D"/>
    <w:rsid w:val="005C5237"/>
    <w:rsid w:val="005C5301"/>
    <w:rsid w:val="005C55AD"/>
    <w:rsid w:val="005C5658"/>
    <w:rsid w:val="005C56DF"/>
    <w:rsid w:val="005C5757"/>
    <w:rsid w:val="005C5BF5"/>
    <w:rsid w:val="005C5D45"/>
    <w:rsid w:val="005C6148"/>
    <w:rsid w:val="005C63B8"/>
    <w:rsid w:val="005C65D7"/>
    <w:rsid w:val="005C6648"/>
    <w:rsid w:val="005C6677"/>
    <w:rsid w:val="005C66CC"/>
    <w:rsid w:val="005C6851"/>
    <w:rsid w:val="005C6903"/>
    <w:rsid w:val="005C694E"/>
    <w:rsid w:val="005C6EB8"/>
    <w:rsid w:val="005C6F0B"/>
    <w:rsid w:val="005C7059"/>
    <w:rsid w:val="005C708E"/>
    <w:rsid w:val="005C7090"/>
    <w:rsid w:val="005C720D"/>
    <w:rsid w:val="005C731D"/>
    <w:rsid w:val="005C74FB"/>
    <w:rsid w:val="005C762E"/>
    <w:rsid w:val="005C776F"/>
    <w:rsid w:val="005C79B4"/>
    <w:rsid w:val="005C7A33"/>
    <w:rsid w:val="005C7CB3"/>
    <w:rsid w:val="005C7F89"/>
    <w:rsid w:val="005D0DD9"/>
    <w:rsid w:val="005D0DDE"/>
    <w:rsid w:val="005D1016"/>
    <w:rsid w:val="005D1242"/>
    <w:rsid w:val="005D159D"/>
    <w:rsid w:val="005D1602"/>
    <w:rsid w:val="005D17F9"/>
    <w:rsid w:val="005D1962"/>
    <w:rsid w:val="005D1B25"/>
    <w:rsid w:val="005D2403"/>
    <w:rsid w:val="005D2806"/>
    <w:rsid w:val="005D2C21"/>
    <w:rsid w:val="005D2CBF"/>
    <w:rsid w:val="005D3126"/>
    <w:rsid w:val="005D3775"/>
    <w:rsid w:val="005D37F0"/>
    <w:rsid w:val="005D3B4D"/>
    <w:rsid w:val="005D3CE3"/>
    <w:rsid w:val="005D3D8A"/>
    <w:rsid w:val="005D3EFD"/>
    <w:rsid w:val="005D429C"/>
    <w:rsid w:val="005D4416"/>
    <w:rsid w:val="005D4423"/>
    <w:rsid w:val="005D45F7"/>
    <w:rsid w:val="005D496F"/>
    <w:rsid w:val="005D4C75"/>
    <w:rsid w:val="005D5246"/>
    <w:rsid w:val="005D5313"/>
    <w:rsid w:val="005D5318"/>
    <w:rsid w:val="005D5558"/>
    <w:rsid w:val="005D55BD"/>
    <w:rsid w:val="005D594E"/>
    <w:rsid w:val="005D5B5D"/>
    <w:rsid w:val="005D5BEE"/>
    <w:rsid w:val="005D6470"/>
    <w:rsid w:val="005D6789"/>
    <w:rsid w:val="005D6A81"/>
    <w:rsid w:val="005D6AE7"/>
    <w:rsid w:val="005D6CCE"/>
    <w:rsid w:val="005D72B0"/>
    <w:rsid w:val="005D7599"/>
    <w:rsid w:val="005D779C"/>
    <w:rsid w:val="005D7AE1"/>
    <w:rsid w:val="005D7C53"/>
    <w:rsid w:val="005E0498"/>
    <w:rsid w:val="005E04D2"/>
    <w:rsid w:val="005E0891"/>
    <w:rsid w:val="005E0A8A"/>
    <w:rsid w:val="005E0B56"/>
    <w:rsid w:val="005E0E4B"/>
    <w:rsid w:val="005E108F"/>
    <w:rsid w:val="005E15A2"/>
    <w:rsid w:val="005E192D"/>
    <w:rsid w:val="005E1A7A"/>
    <w:rsid w:val="005E1D06"/>
    <w:rsid w:val="005E213E"/>
    <w:rsid w:val="005E2B0B"/>
    <w:rsid w:val="005E3091"/>
    <w:rsid w:val="005E31A1"/>
    <w:rsid w:val="005E332A"/>
    <w:rsid w:val="005E385F"/>
    <w:rsid w:val="005E38E3"/>
    <w:rsid w:val="005E3A41"/>
    <w:rsid w:val="005E3E75"/>
    <w:rsid w:val="005E3EB6"/>
    <w:rsid w:val="005E42E6"/>
    <w:rsid w:val="005E4C98"/>
    <w:rsid w:val="005E5171"/>
    <w:rsid w:val="005E5593"/>
    <w:rsid w:val="005E5896"/>
    <w:rsid w:val="005E5B67"/>
    <w:rsid w:val="005E5B81"/>
    <w:rsid w:val="005E6115"/>
    <w:rsid w:val="005E6437"/>
    <w:rsid w:val="005E6543"/>
    <w:rsid w:val="005E677F"/>
    <w:rsid w:val="005E6CBF"/>
    <w:rsid w:val="005E6F3D"/>
    <w:rsid w:val="005E7333"/>
    <w:rsid w:val="005E73E3"/>
    <w:rsid w:val="005E7468"/>
    <w:rsid w:val="005E770F"/>
    <w:rsid w:val="005E77C0"/>
    <w:rsid w:val="005E7BE0"/>
    <w:rsid w:val="005F008D"/>
    <w:rsid w:val="005F07B4"/>
    <w:rsid w:val="005F0B9A"/>
    <w:rsid w:val="005F0D73"/>
    <w:rsid w:val="005F149C"/>
    <w:rsid w:val="005F1547"/>
    <w:rsid w:val="005F15ED"/>
    <w:rsid w:val="005F1822"/>
    <w:rsid w:val="005F1B2C"/>
    <w:rsid w:val="005F1E47"/>
    <w:rsid w:val="005F1FE1"/>
    <w:rsid w:val="005F208A"/>
    <w:rsid w:val="005F21AB"/>
    <w:rsid w:val="005F233D"/>
    <w:rsid w:val="005F2463"/>
    <w:rsid w:val="005F262F"/>
    <w:rsid w:val="005F269C"/>
    <w:rsid w:val="005F29A4"/>
    <w:rsid w:val="005F2CB1"/>
    <w:rsid w:val="005F2F2F"/>
    <w:rsid w:val="005F3025"/>
    <w:rsid w:val="005F31A2"/>
    <w:rsid w:val="005F3911"/>
    <w:rsid w:val="005F3B01"/>
    <w:rsid w:val="005F3B6B"/>
    <w:rsid w:val="005F473A"/>
    <w:rsid w:val="005F4AF6"/>
    <w:rsid w:val="005F4B84"/>
    <w:rsid w:val="005F4BC3"/>
    <w:rsid w:val="005F4C97"/>
    <w:rsid w:val="005F4CE3"/>
    <w:rsid w:val="005F4CF1"/>
    <w:rsid w:val="005F4E19"/>
    <w:rsid w:val="005F4FF8"/>
    <w:rsid w:val="005F4FFE"/>
    <w:rsid w:val="005F503C"/>
    <w:rsid w:val="005F5126"/>
    <w:rsid w:val="005F518E"/>
    <w:rsid w:val="005F5588"/>
    <w:rsid w:val="005F5676"/>
    <w:rsid w:val="005F577A"/>
    <w:rsid w:val="005F5DC7"/>
    <w:rsid w:val="005F5EEB"/>
    <w:rsid w:val="005F618C"/>
    <w:rsid w:val="005F629A"/>
    <w:rsid w:val="005F63C1"/>
    <w:rsid w:val="005F6A4E"/>
    <w:rsid w:val="005F6B64"/>
    <w:rsid w:val="005F6C1C"/>
    <w:rsid w:val="005F6C8B"/>
    <w:rsid w:val="005F6D38"/>
    <w:rsid w:val="005F6F55"/>
    <w:rsid w:val="005F70BD"/>
    <w:rsid w:val="005F7127"/>
    <w:rsid w:val="005F781E"/>
    <w:rsid w:val="005F7864"/>
    <w:rsid w:val="005F7871"/>
    <w:rsid w:val="005F7CE6"/>
    <w:rsid w:val="005F7EA3"/>
    <w:rsid w:val="00600153"/>
    <w:rsid w:val="006002EA"/>
    <w:rsid w:val="00600815"/>
    <w:rsid w:val="00600A98"/>
    <w:rsid w:val="00600B52"/>
    <w:rsid w:val="00600DA8"/>
    <w:rsid w:val="00600DCA"/>
    <w:rsid w:val="00600F37"/>
    <w:rsid w:val="00601515"/>
    <w:rsid w:val="00601538"/>
    <w:rsid w:val="0060166D"/>
    <w:rsid w:val="00601ACC"/>
    <w:rsid w:val="00601C69"/>
    <w:rsid w:val="00601D54"/>
    <w:rsid w:val="00601DCE"/>
    <w:rsid w:val="0060265B"/>
    <w:rsid w:val="00602739"/>
    <w:rsid w:val="0060276A"/>
    <w:rsid w:val="0060283C"/>
    <w:rsid w:val="00602B58"/>
    <w:rsid w:val="00602D07"/>
    <w:rsid w:val="0060307A"/>
    <w:rsid w:val="006036FD"/>
    <w:rsid w:val="00603793"/>
    <w:rsid w:val="00603963"/>
    <w:rsid w:val="00603965"/>
    <w:rsid w:val="006039D6"/>
    <w:rsid w:val="00603CD1"/>
    <w:rsid w:val="00603D27"/>
    <w:rsid w:val="00603DA5"/>
    <w:rsid w:val="006042D9"/>
    <w:rsid w:val="006044F7"/>
    <w:rsid w:val="00604737"/>
    <w:rsid w:val="006047D0"/>
    <w:rsid w:val="00604E28"/>
    <w:rsid w:val="00604F14"/>
    <w:rsid w:val="00605087"/>
    <w:rsid w:val="00605191"/>
    <w:rsid w:val="0060526F"/>
    <w:rsid w:val="00605352"/>
    <w:rsid w:val="006053B8"/>
    <w:rsid w:val="0060551F"/>
    <w:rsid w:val="0060581A"/>
    <w:rsid w:val="00605B12"/>
    <w:rsid w:val="00605E87"/>
    <w:rsid w:val="00605FE2"/>
    <w:rsid w:val="00606353"/>
    <w:rsid w:val="00606660"/>
    <w:rsid w:val="0060670E"/>
    <w:rsid w:val="00606892"/>
    <w:rsid w:val="00606C53"/>
    <w:rsid w:val="00606CFD"/>
    <w:rsid w:val="00606DA0"/>
    <w:rsid w:val="0060731E"/>
    <w:rsid w:val="006073A6"/>
    <w:rsid w:val="00607737"/>
    <w:rsid w:val="006078E4"/>
    <w:rsid w:val="0060790C"/>
    <w:rsid w:val="006079D1"/>
    <w:rsid w:val="006100D1"/>
    <w:rsid w:val="006102A6"/>
    <w:rsid w:val="00610BA2"/>
    <w:rsid w:val="00610BC8"/>
    <w:rsid w:val="00611404"/>
    <w:rsid w:val="00611540"/>
    <w:rsid w:val="00611B83"/>
    <w:rsid w:val="00611DA0"/>
    <w:rsid w:val="00611E1D"/>
    <w:rsid w:val="00612622"/>
    <w:rsid w:val="00612665"/>
    <w:rsid w:val="00612872"/>
    <w:rsid w:val="006128C6"/>
    <w:rsid w:val="00612B58"/>
    <w:rsid w:val="00612FB5"/>
    <w:rsid w:val="0061314D"/>
    <w:rsid w:val="00613257"/>
    <w:rsid w:val="006135D4"/>
    <w:rsid w:val="006139D0"/>
    <w:rsid w:val="00614153"/>
    <w:rsid w:val="00614465"/>
    <w:rsid w:val="00614556"/>
    <w:rsid w:val="0061459B"/>
    <w:rsid w:val="00614B0B"/>
    <w:rsid w:val="00614C16"/>
    <w:rsid w:val="00614DE9"/>
    <w:rsid w:val="00615075"/>
    <w:rsid w:val="00615106"/>
    <w:rsid w:val="006151F4"/>
    <w:rsid w:val="00615338"/>
    <w:rsid w:val="00615346"/>
    <w:rsid w:val="00615AA2"/>
    <w:rsid w:val="00615DB2"/>
    <w:rsid w:val="0061666B"/>
    <w:rsid w:val="006166EC"/>
    <w:rsid w:val="0061681F"/>
    <w:rsid w:val="0061689A"/>
    <w:rsid w:val="006168DB"/>
    <w:rsid w:val="00616FFB"/>
    <w:rsid w:val="00617655"/>
    <w:rsid w:val="00617DD0"/>
    <w:rsid w:val="0062075E"/>
    <w:rsid w:val="00620770"/>
    <w:rsid w:val="006207C1"/>
    <w:rsid w:val="0062091A"/>
    <w:rsid w:val="00620A71"/>
    <w:rsid w:val="00620B7E"/>
    <w:rsid w:val="00620BC2"/>
    <w:rsid w:val="00620D80"/>
    <w:rsid w:val="006212D1"/>
    <w:rsid w:val="006212FC"/>
    <w:rsid w:val="00621499"/>
    <w:rsid w:val="006217B1"/>
    <w:rsid w:val="00621922"/>
    <w:rsid w:val="0062199C"/>
    <w:rsid w:val="00621D94"/>
    <w:rsid w:val="00621F08"/>
    <w:rsid w:val="00621F11"/>
    <w:rsid w:val="00622032"/>
    <w:rsid w:val="006223C8"/>
    <w:rsid w:val="00622915"/>
    <w:rsid w:val="00622A88"/>
    <w:rsid w:val="00622B82"/>
    <w:rsid w:val="00622D8E"/>
    <w:rsid w:val="006232A3"/>
    <w:rsid w:val="006234A6"/>
    <w:rsid w:val="006234CC"/>
    <w:rsid w:val="00623715"/>
    <w:rsid w:val="00623E97"/>
    <w:rsid w:val="00625671"/>
    <w:rsid w:val="00625683"/>
    <w:rsid w:val="006256C6"/>
    <w:rsid w:val="006257B0"/>
    <w:rsid w:val="006257CE"/>
    <w:rsid w:val="0062581F"/>
    <w:rsid w:val="0062583D"/>
    <w:rsid w:val="0062586D"/>
    <w:rsid w:val="006260A9"/>
    <w:rsid w:val="006260C4"/>
    <w:rsid w:val="0062635C"/>
    <w:rsid w:val="00626596"/>
    <w:rsid w:val="00626AB9"/>
    <w:rsid w:val="00627293"/>
    <w:rsid w:val="006276A4"/>
    <w:rsid w:val="00627726"/>
    <w:rsid w:val="006279E7"/>
    <w:rsid w:val="00627ABC"/>
    <w:rsid w:val="00627C96"/>
    <w:rsid w:val="00627DCF"/>
    <w:rsid w:val="00627E59"/>
    <w:rsid w:val="00630001"/>
    <w:rsid w:val="00630284"/>
    <w:rsid w:val="006304C4"/>
    <w:rsid w:val="006307D0"/>
    <w:rsid w:val="00630FC7"/>
    <w:rsid w:val="006311B3"/>
    <w:rsid w:val="00631634"/>
    <w:rsid w:val="006319E2"/>
    <w:rsid w:val="00631CBE"/>
    <w:rsid w:val="00631DDA"/>
    <w:rsid w:val="0063261B"/>
    <w:rsid w:val="0063284C"/>
    <w:rsid w:val="00633B0A"/>
    <w:rsid w:val="00633C66"/>
    <w:rsid w:val="00633C7E"/>
    <w:rsid w:val="00633DFD"/>
    <w:rsid w:val="0063427C"/>
    <w:rsid w:val="006344E4"/>
    <w:rsid w:val="006345F5"/>
    <w:rsid w:val="0063478C"/>
    <w:rsid w:val="00634AB0"/>
    <w:rsid w:val="00634CF6"/>
    <w:rsid w:val="00634EA1"/>
    <w:rsid w:val="00634EB1"/>
    <w:rsid w:val="0063531F"/>
    <w:rsid w:val="006353B3"/>
    <w:rsid w:val="00635901"/>
    <w:rsid w:val="006359EA"/>
    <w:rsid w:val="00635B26"/>
    <w:rsid w:val="00635BD9"/>
    <w:rsid w:val="00636049"/>
    <w:rsid w:val="00636398"/>
    <w:rsid w:val="00636431"/>
    <w:rsid w:val="006368D3"/>
    <w:rsid w:val="00636F65"/>
    <w:rsid w:val="006375D9"/>
    <w:rsid w:val="006377EC"/>
    <w:rsid w:val="0064023B"/>
    <w:rsid w:val="00640272"/>
    <w:rsid w:val="00640285"/>
    <w:rsid w:val="006406EF"/>
    <w:rsid w:val="0064144C"/>
    <w:rsid w:val="0064151F"/>
    <w:rsid w:val="00641533"/>
    <w:rsid w:val="00641776"/>
    <w:rsid w:val="00641C0D"/>
    <w:rsid w:val="00641D82"/>
    <w:rsid w:val="0064208D"/>
    <w:rsid w:val="006420B6"/>
    <w:rsid w:val="006420E3"/>
    <w:rsid w:val="006423D8"/>
    <w:rsid w:val="006425D0"/>
    <w:rsid w:val="0064266C"/>
    <w:rsid w:val="00642B68"/>
    <w:rsid w:val="00642C4C"/>
    <w:rsid w:val="00642E8C"/>
    <w:rsid w:val="006431DF"/>
    <w:rsid w:val="00643399"/>
    <w:rsid w:val="00643475"/>
    <w:rsid w:val="0064347F"/>
    <w:rsid w:val="006435A0"/>
    <w:rsid w:val="006437AE"/>
    <w:rsid w:val="006437B6"/>
    <w:rsid w:val="0064392A"/>
    <w:rsid w:val="0064396A"/>
    <w:rsid w:val="00643C78"/>
    <w:rsid w:val="00643E7B"/>
    <w:rsid w:val="00643EBA"/>
    <w:rsid w:val="0064433C"/>
    <w:rsid w:val="0064442D"/>
    <w:rsid w:val="0064492E"/>
    <w:rsid w:val="0064535C"/>
    <w:rsid w:val="0064537B"/>
    <w:rsid w:val="0064537D"/>
    <w:rsid w:val="0064572C"/>
    <w:rsid w:val="006458AC"/>
    <w:rsid w:val="0064596B"/>
    <w:rsid w:val="006459DA"/>
    <w:rsid w:val="00645A3C"/>
    <w:rsid w:val="00646145"/>
    <w:rsid w:val="0064624E"/>
    <w:rsid w:val="0064628E"/>
    <w:rsid w:val="0064686D"/>
    <w:rsid w:val="006468CA"/>
    <w:rsid w:val="00646CFA"/>
    <w:rsid w:val="0064727B"/>
    <w:rsid w:val="00647830"/>
    <w:rsid w:val="00647875"/>
    <w:rsid w:val="0064793A"/>
    <w:rsid w:val="00647A03"/>
    <w:rsid w:val="00647CCE"/>
    <w:rsid w:val="006500D6"/>
    <w:rsid w:val="006502DD"/>
    <w:rsid w:val="006508B4"/>
    <w:rsid w:val="00650AB9"/>
    <w:rsid w:val="00650D65"/>
    <w:rsid w:val="00651104"/>
    <w:rsid w:val="00651191"/>
    <w:rsid w:val="006511A1"/>
    <w:rsid w:val="006513AA"/>
    <w:rsid w:val="006513F1"/>
    <w:rsid w:val="0065191D"/>
    <w:rsid w:val="006520A1"/>
    <w:rsid w:val="0065257F"/>
    <w:rsid w:val="0065290E"/>
    <w:rsid w:val="0065309B"/>
    <w:rsid w:val="00653195"/>
    <w:rsid w:val="006531A3"/>
    <w:rsid w:val="0065320D"/>
    <w:rsid w:val="00653591"/>
    <w:rsid w:val="006537C3"/>
    <w:rsid w:val="006537DF"/>
    <w:rsid w:val="00653A61"/>
    <w:rsid w:val="00653C58"/>
    <w:rsid w:val="00653EBD"/>
    <w:rsid w:val="006543E5"/>
    <w:rsid w:val="00654550"/>
    <w:rsid w:val="00654D17"/>
    <w:rsid w:val="00654D6A"/>
    <w:rsid w:val="00654E5D"/>
    <w:rsid w:val="0065547F"/>
    <w:rsid w:val="006555A6"/>
    <w:rsid w:val="00655663"/>
    <w:rsid w:val="00655733"/>
    <w:rsid w:val="00655ACD"/>
    <w:rsid w:val="00655AFA"/>
    <w:rsid w:val="00655DC4"/>
    <w:rsid w:val="00656033"/>
    <w:rsid w:val="0065615C"/>
    <w:rsid w:val="006562AD"/>
    <w:rsid w:val="006564E4"/>
    <w:rsid w:val="00656582"/>
    <w:rsid w:val="0065662D"/>
    <w:rsid w:val="00656A92"/>
    <w:rsid w:val="00656C5E"/>
    <w:rsid w:val="00656C95"/>
    <w:rsid w:val="00656DDE"/>
    <w:rsid w:val="00656F20"/>
    <w:rsid w:val="00657A57"/>
    <w:rsid w:val="00657D56"/>
    <w:rsid w:val="00657DC3"/>
    <w:rsid w:val="00660019"/>
    <w:rsid w:val="00660036"/>
    <w:rsid w:val="0066011D"/>
    <w:rsid w:val="0066036F"/>
    <w:rsid w:val="00660402"/>
    <w:rsid w:val="006607C0"/>
    <w:rsid w:val="006608A6"/>
    <w:rsid w:val="006613A6"/>
    <w:rsid w:val="006615A6"/>
    <w:rsid w:val="00661787"/>
    <w:rsid w:val="006617C5"/>
    <w:rsid w:val="006617F2"/>
    <w:rsid w:val="00661BAE"/>
    <w:rsid w:val="00661C66"/>
    <w:rsid w:val="00661CA1"/>
    <w:rsid w:val="00661E49"/>
    <w:rsid w:val="00661F65"/>
    <w:rsid w:val="00661F91"/>
    <w:rsid w:val="00662472"/>
    <w:rsid w:val="006627A2"/>
    <w:rsid w:val="006628DD"/>
    <w:rsid w:val="006629B9"/>
    <w:rsid w:val="006629EB"/>
    <w:rsid w:val="00662E81"/>
    <w:rsid w:val="00662F74"/>
    <w:rsid w:val="006633E6"/>
    <w:rsid w:val="006634E6"/>
    <w:rsid w:val="00663626"/>
    <w:rsid w:val="00663841"/>
    <w:rsid w:val="00663903"/>
    <w:rsid w:val="00663B38"/>
    <w:rsid w:val="00663DE5"/>
    <w:rsid w:val="00663DF9"/>
    <w:rsid w:val="006643AD"/>
    <w:rsid w:val="006645D9"/>
    <w:rsid w:val="00664A59"/>
    <w:rsid w:val="006652E6"/>
    <w:rsid w:val="006654DA"/>
    <w:rsid w:val="00665575"/>
    <w:rsid w:val="006655EE"/>
    <w:rsid w:val="00665A3A"/>
    <w:rsid w:val="00665B90"/>
    <w:rsid w:val="00665C26"/>
    <w:rsid w:val="00665DE2"/>
    <w:rsid w:val="00665FBA"/>
    <w:rsid w:val="0066657F"/>
    <w:rsid w:val="00666788"/>
    <w:rsid w:val="006668EC"/>
    <w:rsid w:val="00666B95"/>
    <w:rsid w:val="00666C1B"/>
    <w:rsid w:val="00666C54"/>
    <w:rsid w:val="00666D91"/>
    <w:rsid w:val="00666DE9"/>
    <w:rsid w:val="00666F0B"/>
    <w:rsid w:val="0066708B"/>
    <w:rsid w:val="006675B9"/>
    <w:rsid w:val="006676C8"/>
    <w:rsid w:val="006677FB"/>
    <w:rsid w:val="00667B1C"/>
    <w:rsid w:val="00667E7A"/>
    <w:rsid w:val="00667EE7"/>
    <w:rsid w:val="00670922"/>
    <w:rsid w:val="00670BE1"/>
    <w:rsid w:val="00670D33"/>
    <w:rsid w:val="006711A4"/>
    <w:rsid w:val="0067120F"/>
    <w:rsid w:val="00671347"/>
    <w:rsid w:val="0067155E"/>
    <w:rsid w:val="00671947"/>
    <w:rsid w:val="0067218F"/>
    <w:rsid w:val="00672481"/>
    <w:rsid w:val="00672515"/>
    <w:rsid w:val="00672685"/>
    <w:rsid w:val="00672838"/>
    <w:rsid w:val="006728D9"/>
    <w:rsid w:val="006729FF"/>
    <w:rsid w:val="00672D75"/>
    <w:rsid w:val="0067345F"/>
    <w:rsid w:val="00674089"/>
    <w:rsid w:val="006740BC"/>
    <w:rsid w:val="006741F2"/>
    <w:rsid w:val="00674616"/>
    <w:rsid w:val="00674CC3"/>
    <w:rsid w:val="00674D73"/>
    <w:rsid w:val="00674ECB"/>
    <w:rsid w:val="00674EDA"/>
    <w:rsid w:val="006750EF"/>
    <w:rsid w:val="0067515F"/>
    <w:rsid w:val="006751B8"/>
    <w:rsid w:val="00675B11"/>
    <w:rsid w:val="00675C72"/>
    <w:rsid w:val="00676473"/>
    <w:rsid w:val="0067654C"/>
    <w:rsid w:val="00676791"/>
    <w:rsid w:val="00676C97"/>
    <w:rsid w:val="0067714E"/>
    <w:rsid w:val="006771F9"/>
    <w:rsid w:val="00677605"/>
    <w:rsid w:val="00677670"/>
    <w:rsid w:val="006776D7"/>
    <w:rsid w:val="00677868"/>
    <w:rsid w:val="00677956"/>
    <w:rsid w:val="00677B58"/>
    <w:rsid w:val="00677DB1"/>
    <w:rsid w:val="0068028B"/>
    <w:rsid w:val="00680529"/>
    <w:rsid w:val="0068077C"/>
    <w:rsid w:val="006807C2"/>
    <w:rsid w:val="006808CC"/>
    <w:rsid w:val="00680984"/>
    <w:rsid w:val="00680A67"/>
    <w:rsid w:val="00680AD0"/>
    <w:rsid w:val="00680F51"/>
    <w:rsid w:val="00681003"/>
    <w:rsid w:val="006810B4"/>
    <w:rsid w:val="00681237"/>
    <w:rsid w:val="006817A0"/>
    <w:rsid w:val="006817C9"/>
    <w:rsid w:val="006817EA"/>
    <w:rsid w:val="00681B0B"/>
    <w:rsid w:val="00681D1A"/>
    <w:rsid w:val="00681E39"/>
    <w:rsid w:val="00681E86"/>
    <w:rsid w:val="00681F85"/>
    <w:rsid w:val="00681FC8"/>
    <w:rsid w:val="00682092"/>
    <w:rsid w:val="00682156"/>
    <w:rsid w:val="006826DB"/>
    <w:rsid w:val="006827F3"/>
    <w:rsid w:val="00682A70"/>
    <w:rsid w:val="00682A87"/>
    <w:rsid w:val="00682ABE"/>
    <w:rsid w:val="00682B2D"/>
    <w:rsid w:val="00682B83"/>
    <w:rsid w:val="00682C01"/>
    <w:rsid w:val="00683213"/>
    <w:rsid w:val="0068323A"/>
    <w:rsid w:val="00683957"/>
    <w:rsid w:val="006839C9"/>
    <w:rsid w:val="00683CFF"/>
    <w:rsid w:val="00683ECE"/>
    <w:rsid w:val="00684000"/>
    <w:rsid w:val="0068403E"/>
    <w:rsid w:val="006841E7"/>
    <w:rsid w:val="00684399"/>
    <w:rsid w:val="006845FC"/>
    <w:rsid w:val="006846A9"/>
    <w:rsid w:val="00684A14"/>
    <w:rsid w:val="00684B99"/>
    <w:rsid w:val="00684EA4"/>
    <w:rsid w:val="00685031"/>
    <w:rsid w:val="0068513E"/>
    <w:rsid w:val="00685186"/>
    <w:rsid w:val="0068525B"/>
    <w:rsid w:val="00685469"/>
    <w:rsid w:val="0068576E"/>
    <w:rsid w:val="006857BF"/>
    <w:rsid w:val="00685872"/>
    <w:rsid w:val="006859A9"/>
    <w:rsid w:val="006859FC"/>
    <w:rsid w:val="006860EB"/>
    <w:rsid w:val="00686657"/>
    <w:rsid w:val="00686757"/>
    <w:rsid w:val="00686B5A"/>
    <w:rsid w:val="00686CED"/>
    <w:rsid w:val="00686E91"/>
    <w:rsid w:val="00686FBE"/>
    <w:rsid w:val="00687231"/>
    <w:rsid w:val="00687360"/>
    <w:rsid w:val="00687390"/>
    <w:rsid w:val="00687B11"/>
    <w:rsid w:val="00687C49"/>
    <w:rsid w:val="00687D21"/>
    <w:rsid w:val="006900D1"/>
    <w:rsid w:val="00690487"/>
    <w:rsid w:val="00690553"/>
    <w:rsid w:val="00690765"/>
    <w:rsid w:val="00690E94"/>
    <w:rsid w:val="00691516"/>
    <w:rsid w:val="006917BB"/>
    <w:rsid w:val="006918B5"/>
    <w:rsid w:val="00691C4F"/>
    <w:rsid w:val="00691D5E"/>
    <w:rsid w:val="00691E34"/>
    <w:rsid w:val="00692239"/>
    <w:rsid w:val="0069234A"/>
    <w:rsid w:val="00692474"/>
    <w:rsid w:val="006928C5"/>
    <w:rsid w:val="00692F97"/>
    <w:rsid w:val="00693038"/>
    <w:rsid w:val="00693110"/>
    <w:rsid w:val="00693137"/>
    <w:rsid w:val="00693151"/>
    <w:rsid w:val="006931B0"/>
    <w:rsid w:val="006936DD"/>
    <w:rsid w:val="00693BEE"/>
    <w:rsid w:val="00693F8F"/>
    <w:rsid w:val="00694665"/>
    <w:rsid w:val="006948D8"/>
    <w:rsid w:val="00694B00"/>
    <w:rsid w:val="00694C3F"/>
    <w:rsid w:val="00694D54"/>
    <w:rsid w:val="00694F39"/>
    <w:rsid w:val="00694F3E"/>
    <w:rsid w:val="00694F4A"/>
    <w:rsid w:val="00694F86"/>
    <w:rsid w:val="006950E1"/>
    <w:rsid w:val="00695149"/>
    <w:rsid w:val="006956E1"/>
    <w:rsid w:val="00695FC2"/>
    <w:rsid w:val="00695FE9"/>
    <w:rsid w:val="006968C1"/>
    <w:rsid w:val="00696949"/>
    <w:rsid w:val="0069698F"/>
    <w:rsid w:val="006969D1"/>
    <w:rsid w:val="00696CA1"/>
    <w:rsid w:val="00696ED8"/>
    <w:rsid w:val="00697052"/>
    <w:rsid w:val="00697320"/>
    <w:rsid w:val="00697571"/>
    <w:rsid w:val="0069774C"/>
    <w:rsid w:val="00697B4F"/>
    <w:rsid w:val="00697D0B"/>
    <w:rsid w:val="006A0B09"/>
    <w:rsid w:val="006A0B72"/>
    <w:rsid w:val="006A0BBA"/>
    <w:rsid w:val="006A0C7F"/>
    <w:rsid w:val="006A1047"/>
    <w:rsid w:val="006A107B"/>
    <w:rsid w:val="006A1718"/>
    <w:rsid w:val="006A1810"/>
    <w:rsid w:val="006A1A06"/>
    <w:rsid w:val="006A1AA3"/>
    <w:rsid w:val="006A1B72"/>
    <w:rsid w:val="006A1D94"/>
    <w:rsid w:val="006A1F0C"/>
    <w:rsid w:val="006A2025"/>
    <w:rsid w:val="006A2A6F"/>
    <w:rsid w:val="006A2E7B"/>
    <w:rsid w:val="006A3004"/>
    <w:rsid w:val="006A31E5"/>
    <w:rsid w:val="006A327A"/>
    <w:rsid w:val="006A36DE"/>
    <w:rsid w:val="006A4055"/>
    <w:rsid w:val="006A421F"/>
    <w:rsid w:val="006A4509"/>
    <w:rsid w:val="006A46FB"/>
    <w:rsid w:val="006A4706"/>
    <w:rsid w:val="006A4735"/>
    <w:rsid w:val="006A48D2"/>
    <w:rsid w:val="006A4D90"/>
    <w:rsid w:val="006A4DAA"/>
    <w:rsid w:val="006A504F"/>
    <w:rsid w:val="006A5307"/>
    <w:rsid w:val="006A551F"/>
    <w:rsid w:val="006A5A67"/>
    <w:rsid w:val="006A5E28"/>
    <w:rsid w:val="006A6445"/>
    <w:rsid w:val="006A67A8"/>
    <w:rsid w:val="006A697B"/>
    <w:rsid w:val="006A6CB8"/>
    <w:rsid w:val="006A6D1C"/>
    <w:rsid w:val="006A6F05"/>
    <w:rsid w:val="006A701E"/>
    <w:rsid w:val="006A7198"/>
    <w:rsid w:val="006A71B4"/>
    <w:rsid w:val="006A7AFF"/>
    <w:rsid w:val="006A7BB8"/>
    <w:rsid w:val="006B0139"/>
    <w:rsid w:val="006B01DF"/>
    <w:rsid w:val="006B0204"/>
    <w:rsid w:val="006B0C39"/>
    <w:rsid w:val="006B10F8"/>
    <w:rsid w:val="006B1121"/>
    <w:rsid w:val="006B1816"/>
    <w:rsid w:val="006B19C6"/>
    <w:rsid w:val="006B1EE0"/>
    <w:rsid w:val="006B1F84"/>
    <w:rsid w:val="006B1FDB"/>
    <w:rsid w:val="006B2089"/>
    <w:rsid w:val="006B2099"/>
    <w:rsid w:val="006B262C"/>
    <w:rsid w:val="006B2670"/>
    <w:rsid w:val="006B280A"/>
    <w:rsid w:val="006B2B8F"/>
    <w:rsid w:val="006B2C79"/>
    <w:rsid w:val="006B3052"/>
    <w:rsid w:val="006B33F9"/>
    <w:rsid w:val="006B3512"/>
    <w:rsid w:val="006B39DB"/>
    <w:rsid w:val="006B3E8B"/>
    <w:rsid w:val="006B3F5F"/>
    <w:rsid w:val="006B4071"/>
    <w:rsid w:val="006B4395"/>
    <w:rsid w:val="006B47B5"/>
    <w:rsid w:val="006B4CAD"/>
    <w:rsid w:val="006B4FED"/>
    <w:rsid w:val="006B50CF"/>
    <w:rsid w:val="006B51B9"/>
    <w:rsid w:val="006B53D3"/>
    <w:rsid w:val="006B60DE"/>
    <w:rsid w:val="006B61AC"/>
    <w:rsid w:val="006B630D"/>
    <w:rsid w:val="006B68E8"/>
    <w:rsid w:val="006B6A43"/>
    <w:rsid w:val="006B6B59"/>
    <w:rsid w:val="006B6B71"/>
    <w:rsid w:val="006B7226"/>
    <w:rsid w:val="006B73EB"/>
    <w:rsid w:val="006B740A"/>
    <w:rsid w:val="006B7846"/>
    <w:rsid w:val="006B7882"/>
    <w:rsid w:val="006B7A74"/>
    <w:rsid w:val="006B7BD5"/>
    <w:rsid w:val="006B7D84"/>
    <w:rsid w:val="006C03B8"/>
    <w:rsid w:val="006C09C2"/>
    <w:rsid w:val="006C0BA0"/>
    <w:rsid w:val="006C0BAF"/>
    <w:rsid w:val="006C0C1B"/>
    <w:rsid w:val="006C0C73"/>
    <w:rsid w:val="006C1078"/>
    <w:rsid w:val="006C11C5"/>
    <w:rsid w:val="006C12FC"/>
    <w:rsid w:val="006C180A"/>
    <w:rsid w:val="006C1824"/>
    <w:rsid w:val="006C1DF7"/>
    <w:rsid w:val="006C2378"/>
    <w:rsid w:val="006C26E9"/>
    <w:rsid w:val="006C2733"/>
    <w:rsid w:val="006C285C"/>
    <w:rsid w:val="006C302B"/>
    <w:rsid w:val="006C330A"/>
    <w:rsid w:val="006C333A"/>
    <w:rsid w:val="006C33BD"/>
    <w:rsid w:val="006C347F"/>
    <w:rsid w:val="006C3558"/>
    <w:rsid w:val="006C3686"/>
    <w:rsid w:val="006C385E"/>
    <w:rsid w:val="006C39E1"/>
    <w:rsid w:val="006C3D96"/>
    <w:rsid w:val="006C3EAF"/>
    <w:rsid w:val="006C3FF0"/>
    <w:rsid w:val="006C4052"/>
    <w:rsid w:val="006C40D2"/>
    <w:rsid w:val="006C41CC"/>
    <w:rsid w:val="006C41D9"/>
    <w:rsid w:val="006C41E6"/>
    <w:rsid w:val="006C4384"/>
    <w:rsid w:val="006C43F7"/>
    <w:rsid w:val="006C455C"/>
    <w:rsid w:val="006C48D3"/>
    <w:rsid w:val="006C4993"/>
    <w:rsid w:val="006C49BD"/>
    <w:rsid w:val="006C4AE5"/>
    <w:rsid w:val="006C4EF2"/>
    <w:rsid w:val="006C4FA8"/>
    <w:rsid w:val="006C51DC"/>
    <w:rsid w:val="006C5384"/>
    <w:rsid w:val="006C53B7"/>
    <w:rsid w:val="006C53D6"/>
    <w:rsid w:val="006C5402"/>
    <w:rsid w:val="006C547A"/>
    <w:rsid w:val="006C5839"/>
    <w:rsid w:val="006C5947"/>
    <w:rsid w:val="006C5DFA"/>
    <w:rsid w:val="006C5EC9"/>
    <w:rsid w:val="006C5EEA"/>
    <w:rsid w:val="006C5F41"/>
    <w:rsid w:val="006C6047"/>
    <w:rsid w:val="006C6057"/>
    <w:rsid w:val="006C6059"/>
    <w:rsid w:val="006C6867"/>
    <w:rsid w:val="006C694E"/>
    <w:rsid w:val="006C6A8C"/>
    <w:rsid w:val="006C6B43"/>
    <w:rsid w:val="006C6D36"/>
    <w:rsid w:val="006C6D87"/>
    <w:rsid w:val="006C71F2"/>
    <w:rsid w:val="006C724C"/>
    <w:rsid w:val="006C7522"/>
    <w:rsid w:val="006C75A2"/>
    <w:rsid w:val="006C7CE9"/>
    <w:rsid w:val="006D011D"/>
    <w:rsid w:val="006D0323"/>
    <w:rsid w:val="006D03DB"/>
    <w:rsid w:val="006D0705"/>
    <w:rsid w:val="006D0872"/>
    <w:rsid w:val="006D0935"/>
    <w:rsid w:val="006D0A3F"/>
    <w:rsid w:val="006D0A9C"/>
    <w:rsid w:val="006D0CE1"/>
    <w:rsid w:val="006D0EFE"/>
    <w:rsid w:val="006D153B"/>
    <w:rsid w:val="006D16BD"/>
    <w:rsid w:val="006D18E3"/>
    <w:rsid w:val="006D1B04"/>
    <w:rsid w:val="006D1DE2"/>
    <w:rsid w:val="006D1ED8"/>
    <w:rsid w:val="006D286E"/>
    <w:rsid w:val="006D29F1"/>
    <w:rsid w:val="006D2BAD"/>
    <w:rsid w:val="006D2D8C"/>
    <w:rsid w:val="006D305D"/>
    <w:rsid w:val="006D31CF"/>
    <w:rsid w:val="006D31EF"/>
    <w:rsid w:val="006D3245"/>
    <w:rsid w:val="006D38E2"/>
    <w:rsid w:val="006D3C6E"/>
    <w:rsid w:val="006D3EE6"/>
    <w:rsid w:val="006D3EF2"/>
    <w:rsid w:val="006D432A"/>
    <w:rsid w:val="006D4988"/>
    <w:rsid w:val="006D4D51"/>
    <w:rsid w:val="006D4DDC"/>
    <w:rsid w:val="006D4F05"/>
    <w:rsid w:val="006D52CD"/>
    <w:rsid w:val="006D54F8"/>
    <w:rsid w:val="006D5549"/>
    <w:rsid w:val="006D57D3"/>
    <w:rsid w:val="006D5F18"/>
    <w:rsid w:val="006D617F"/>
    <w:rsid w:val="006D61A9"/>
    <w:rsid w:val="006D61E6"/>
    <w:rsid w:val="006D644D"/>
    <w:rsid w:val="006D67DC"/>
    <w:rsid w:val="006D6B51"/>
    <w:rsid w:val="006D6DE4"/>
    <w:rsid w:val="006D6E66"/>
    <w:rsid w:val="006D6F08"/>
    <w:rsid w:val="006D706E"/>
    <w:rsid w:val="006D70BC"/>
    <w:rsid w:val="006D74A9"/>
    <w:rsid w:val="006D75E1"/>
    <w:rsid w:val="006D779A"/>
    <w:rsid w:val="006D78FB"/>
    <w:rsid w:val="006D7EE4"/>
    <w:rsid w:val="006E02AB"/>
    <w:rsid w:val="006E03A7"/>
    <w:rsid w:val="006E0522"/>
    <w:rsid w:val="006E0557"/>
    <w:rsid w:val="006E05E3"/>
    <w:rsid w:val="006E060D"/>
    <w:rsid w:val="006E062C"/>
    <w:rsid w:val="006E07E2"/>
    <w:rsid w:val="006E083F"/>
    <w:rsid w:val="006E09C0"/>
    <w:rsid w:val="006E09C5"/>
    <w:rsid w:val="006E0A09"/>
    <w:rsid w:val="006E0A33"/>
    <w:rsid w:val="006E0F57"/>
    <w:rsid w:val="006E14A8"/>
    <w:rsid w:val="006E1B95"/>
    <w:rsid w:val="006E1C82"/>
    <w:rsid w:val="006E1CC5"/>
    <w:rsid w:val="006E2074"/>
    <w:rsid w:val="006E241C"/>
    <w:rsid w:val="006E28B7"/>
    <w:rsid w:val="006E2A9B"/>
    <w:rsid w:val="006E2B1C"/>
    <w:rsid w:val="006E2E05"/>
    <w:rsid w:val="006E2F3A"/>
    <w:rsid w:val="006E3310"/>
    <w:rsid w:val="006E3ED1"/>
    <w:rsid w:val="006E44B2"/>
    <w:rsid w:val="006E45FC"/>
    <w:rsid w:val="006E4888"/>
    <w:rsid w:val="006E4C64"/>
    <w:rsid w:val="006E4E39"/>
    <w:rsid w:val="006E4F09"/>
    <w:rsid w:val="006E4F3E"/>
    <w:rsid w:val="006E4F6A"/>
    <w:rsid w:val="006E510F"/>
    <w:rsid w:val="006E5116"/>
    <w:rsid w:val="006E565E"/>
    <w:rsid w:val="006E5C40"/>
    <w:rsid w:val="006E5E89"/>
    <w:rsid w:val="006E622F"/>
    <w:rsid w:val="006E6317"/>
    <w:rsid w:val="006E670F"/>
    <w:rsid w:val="006E673D"/>
    <w:rsid w:val="006E6753"/>
    <w:rsid w:val="006E6766"/>
    <w:rsid w:val="006E67DC"/>
    <w:rsid w:val="006E6967"/>
    <w:rsid w:val="006E6A94"/>
    <w:rsid w:val="006E6D69"/>
    <w:rsid w:val="006E6EA4"/>
    <w:rsid w:val="006E6FF5"/>
    <w:rsid w:val="006E705B"/>
    <w:rsid w:val="006E7339"/>
    <w:rsid w:val="006E73B3"/>
    <w:rsid w:val="006E7A61"/>
    <w:rsid w:val="006E7D3B"/>
    <w:rsid w:val="006F017B"/>
    <w:rsid w:val="006F05F8"/>
    <w:rsid w:val="006F092D"/>
    <w:rsid w:val="006F110B"/>
    <w:rsid w:val="006F1A71"/>
    <w:rsid w:val="006F1ACF"/>
    <w:rsid w:val="006F1B54"/>
    <w:rsid w:val="006F1B70"/>
    <w:rsid w:val="006F2010"/>
    <w:rsid w:val="006F2765"/>
    <w:rsid w:val="006F281A"/>
    <w:rsid w:val="006F2BB5"/>
    <w:rsid w:val="006F341D"/>
    <w:rsid w:val="006F36A3"/>
    <w:rsid w:val="006F3CDE"/>
    <w:rsid w:val="006F3DBF"/>
    <w:rsid w:val="006F4054"/>
    <w:rsid w:val="006F418E"/>
    <w:rsid w:val="006F41BE"/>
    <w:rsid w:val="006F41C4"/>
    <w:rsid w:val="006F4277"/>
    <w:rsid w:val="006F42AD"/>
    <w:rsid w:val="006F42DC"/>
    <w:rsid w:val="006F4993"/>
    <w:rsid w:val="006F4AB5"/>
    <w:rsid w:val="006F4AB9"/>
    <w:rsid w:val="006F4E8D"/>
    <w:rsid w:val="006F51C2"/>
    <w:rsid w:val="006F54BB"/>
    <w:rsid w:val="006F55D8"/>
    <w:rsid w:val="006F581A"/>
    <w:rsid w:val="006F58D4"/>
    <w:rsid w:val="006F5C24"/>
    <w:rsid w:val="006F5F0A"/>
    <w:rsid w:val="006F5F15"/>
    <w:rsid w:val="006F60CE"/>
    <w:rsid w:val="006F62A1"/>
    <w:rsid w:val="006F6582"/>
    <w:rsid w:val="006F6689"/>
    <w:rsid w:val="006F6AAE"/>
    <w:rsid w:val="006F7305"/>
    <w:rsid w:val="006F7472"/>
    <w:rsid w:val="006F7BEC"/>
    <w:rsid w:val="006F7C2B"/>
    <w:rsid w:val="006F7DCC"/>
    <w:rsid w:val="006F7DF2"/>
    <w:rsid w:val="007001A5"/>
    <w:rsid w:val="007004C9"/>
    <w:rsid w:val="00700A9F"/>
    <w:rsid w:val="00700BA4"/>
    <w:rsid w:val="00700D24"/>
    <w:rsid w:val="00700D2B"/>
    <w:rsid w:val="00701222"/>
    <w:rsid w:val="00701224"/>
    <w:rsid w:val="007016E8"/>
    <w:rsid w:val="0070190E"/>
    <w:rsid w:val="00702090"/>
    <w:rsid w:val="007022D5"/>
    <w:rsid w:val="00702924"/>
    <w:rsid w:val="00702970"/>
    <w:rsid w:val="00702DF0"/>
    <w:rsid w:val="0070304A"/>
    <w:rsid w:val="007030AE"/>
    <w:rsid w:val="0070346E"/>
    <w:rsid w:val="0070347D"/>
    <w:rsid w:val="00703C19"/>
    <w:rsid w:val="00703E9C"/>
    <w:rsid w:val="00704551"/>
    <w:rsid w:val="00704877"/>
    <w:rsid w:val="00704C8C"/>
    <w:rsid w:val="00704EDB"/>
    <w:rsid w:val="00704F28"/>
    <w:rsid w:val="00704F47"/>
    <w:rsid w:val="00704F97"/>
    <w:rsid w:val="00704FBE"/>
    <w:rsid w:val="00705124"/>
    <w:rsid w:val="00705484"/>
    <w:rsid w:val="007056B9"/>
    <w:rsid w:val="00705895"/>
    <w:rsid w:val="007059B9"/>
    <w:rsid w:val="00705D66"/>
    <w:rsid w:val="00705DC0"/>
    <w:rsid w:val="00705E24"/>
    <w:rsid w:val="00706086"/>
    <w:rsid w:val="007060A8"/>
    <w:rsid w:val="00706101"/>
    <w:rsid w:val="007062CF"/>
    <w:rsid w:val="007064DE"/>
    <w:rsid w:val="007065E2"/>
    <w:rsid w:val="0070665C"/>
    <w:rsid w:val="00706EE6"/>
    <w:rsid w:val="00706F99"/>
    <w:rsid w:val="00707059"/>
    <w:rsid w:val="00707072"/>
    <w:rsid w:val="0070741D"/>
    <w:rsid w:val="00707D61"/>
    <w:rsid w:val="00707D82"/>
    <w:rsid w:val="00707DD8"/>
    <w:rsid w:val="00707E70"/>
    <w:rsid w:val="00707FCF"/>
    <w:rsid w:val="00707FDF"/>
    <w:rsid w:val="00710111"/>
    <w:rsid w:val="00711536"/>
    <w:rsid w:val="007119FF"/>
    <w:rsid w:val="00711B47"/>
    <w:rsid w:val="007120E2"/>
    <w:rsid w:val="00712287"/>
    <w:rsid w:val="00712427"/>
    <w:rsid w:val="00712601"/>
    <w:rsid w:val="00712772"/>
    <w:rsid w:val="00712903"/>
    <w:rsid w:val="00712B40"/>
    <w:rsid w:val="00712F88"/>
    <w:rsid w:val="00713185"/>
    <w:rsid w:val="007132B9"/>
    <w:rsid w:val="007133E4"/>
    <w:rsid w:val="0071347B"/>
    <w:rsid w:val="007138D5"/>
    <w:rsid w:val="00713945"/>
    <w:rsid w:val="00713CAE"/>
    <w:rsid w:val="00713EA4"/>
    <w:rsid w:val="0071425F"/>
    <w:rsid w:val="007144C6"/>
    <w:rsid w:val="007148D3"/>
    <w:rsid w:val="00714ECD"/>
    <w:rsid w:val="00715070"/>
    <w:rsid w:val="00715488"/>
    <w:rsid w:val="00715A4B"/>
    <w:rsid w:val="00715A8C"/>
    <w:rsid w:val="00715B8C"/>
    <w:rsid w:val="00715B9A"/>
    <w:rsid w:val="0071605A"/>
    <w:rsid w:val="0071631C"/>
    <w:rsid w:val="0071650A"/>
    <w:rsid w:val="007169A2"/>
    <w:rsid w:val="00716A1A"/>
    <w:rsid w:val="00716BEB"/>
    <w:rsid w:val="00716CBB"/>
    <w:rsid w:val="00716ECE"/>
    <w:rsid w:val="007171AA"/>
    <w:rsid w:val="00717499"/>
    <w:rsid w:val="0071761E"/>
    <w:rsid w:val="00717984"/>
    <w:rsid w:val="00717B92"/>
    <w:rsid w:val="00717E83"/>
    <w:rsid w:val="00717F8C"/>
    <w:rsid w:val="0072038A"/>
    <w:rsid w:val="0072050C"/>
    <w:rsid w:val="0072081D"/>
    <w:rsid w:val="007209EA"/>
    <w:rsid w:val="00720A1E"/>
    <w:rsid w:val="00720AE1"/>
    <w:rsid w:val="00720D00"/>
    <w:rsid w:val="0072109A"/>
    <w:rsid w:val="007210EF"/>
    <w:rsid w:val="00721191"/>
    <w:rsid w:val="007212A7"/>
    <w:rsid w:val="00721493"/>
    <w:rsid w:val="00721996"/>
    <w:rsid w:val="007219E0"/>
    <w:rsid w:val="00721B32"/>
    <w:rsid w:val="00721D8D"/>
    <w:rsid w:val="00721F9C"/>
    <w:rsid w:val="00721FB1"/>
    <w:rsid w:val="007220D5"/>
    <w:rsid w:val="00722467"/>
    <w:rsid w:val="007224A6"/>
    <w:rsid w:val="00722507"/>
    <w:rsid w:val="00722515"/>
    <w:rsid w:val="0072271C"/>
    <w:rsid w:val="00722751"/>
    <w:rsid w:val="00722A54"/>
    <w:rsid w:val="00722BA2"/>
    <w:rsid w:val="00722C75"/>
    <w:rsid w:val="00722D6D"/>
    <w:rsid w:val="00723234"/>
    <w:rsid w:val="007233C7"/>
    <w:rsid w:val="0072344D"/>
    <w:rsid w:val="0072351F"/>
    <w:rsid w:val="0072358C"/>
    <w:rsid w:val="0072378A"/>
    <w:rsid w:val="00723824"/>
    <w:rsid w:val="00723868"/>
    <w:rsid w:val="007238D6"/>
    <w:rsid w:val="00723B65"/>
    <w:rsid w:val="007245EE"/>
    <w:rsid w:val="00724A0B"/>
    <w:rsid w:val="00724D23"/>
    <w:rsid w:val="00724DF1"/>
    <w:rsid w:val="00724FE9"/>
    <w:rsid w:val="00725244"/>
    <w:rsid w:val="007257D0"/>
    <w:rsid w:val="00725819"/>
    <w:rsid w:val="00725840"/>
    <w:rsid w:val="00725B67"/>
    <w:rsid w:val="00725BF0"/>
    <w:rsid w:val="00725D64"/>
    <w:rsid w:val="0072605D"/>
    <w:rsid w:val="00726499"/>
    <w:rsid w:val="0072659C"/>
    <w:rsid w:val="0072685D"/>
    <w:rsid w:val="007268D8"/>
    <w:rsid w:val="00726CA8"/>
    <w:rsid w:val="00726D37"/>
    <w:rsid w:val="00726EA6"/>
    <w:rsid w:val="00727195"/>
    <w:rsid w:val="00727208"/>
    <w:rsid w:val="0072725C"/>
    <w:rsid w:val="00727680"/>
    <w:rsid w:val="007277CA"/>
    <w:rsid w:val="007278B0"/>
    <w:rsid w:val="00727CAA"/>
    <w:rsid w:val="00727D4A"/>
    <w:rsid w:val="007300CC"/>
    <w:rsid w:val="00730326"/>
    <w:rsid w:val="007303D5"/>
    <w:rsid w:val="00730479"/>
    <w:rsid w:val="007305C5"/>
    <w:rsid w:val="00730C02"/>
    <w:rsid w:val="00730D4A"/>
    <w:rsid w:val="007311CE"/>
    <w:rsid w:val="00731B6C"/>
    <w:rsid w:val="00731D37"/>
    <w:rsid w:val="007320B1"/>
    <w:rsid w:val="00732380"/>
    <w:rsid w:val="007326CE"/>
    <w:rsid w:val="00732708"/>
    <w:rsid w:val="00732B32"/>
    <w:rsid w:val="00732CA4"/>
    <w:rsid w:val="007336C9"/>
    <w:rsid w:val="007336D1"/>
    <w:rsid w:val="0073399B"/>
    <w:rsid w:val="00733A83"/>
    <w:rsid w:val="0073411F"/>
    <w:rsid w:val="0073412A"/>
    <w:rsid w:val="0073475B"/>
    <w:rsid w:val="007348B1"/>
    <w:rsid w:val="00734CC5"/>
    <w:rsid w:val="00734DE3"/>
    <w:rsid w:val="007351C4"/>
    <w:rsid w:val="00735301"/>
    <w:rsid w:val="00735633"/>
    <w:rsid w:val="007357B4"/>
    <w:rsid w:val="00735A1E"/>
    <w:rsid w:val="00736154"/>
    <w:rsid w:val="007361E2"/>
    <w:rsid w:val="00736240"/>
    <w:rsid w:val="007362A6"/>
    <w:rsid w:val="00736344"/>
    <w:rsid w:val="0073637A"/>
    <w:rsid w:val="0073638D"/>
    <w:rsid w:val="0073639C"/>
    <w:rsid w:val="0073660A"/>
    <w:rsid w:val="00736C2D"/>
    <w:rsid w:val="00736D7D"/>
    <w:rsid w:val="0073721F"/>
    <w:rsid w:val="00737248"/>
    <w:rsid w:val="007375D9"/>
    <w:rsid w:val="00737D41"/>
    <w:rsid w:val="00737E0F"/>
    <w:rsid w:val="00740303"/>
    <w:rsid w:val="0074041A"/>
    <w:rsid w:val="00740586"/>
    <w:rsid w:val="0074060A"/>
    <w:rsid w:val="00740C44"/>
    <w:rsid w:val="00740D5A"/>
    <w:rsid w:val="00740E58"/>
    <w:rsid w:val="0074145B"/>
    <w:rsid w:val="007417AA"/>
    <w:rsid w:val="00741883"/>
    <w:rsid w:val="00742302"/>
    <w:rsid w:val="00742312"/>
    <w:rsid w:val="0074235C"/>
    <w:rsid w:val="0074242A"/>
    <w:rsid w:val="0074244B"/>
    <w:rsid w:val="007427D4"/>
    <w:rsid w:val="00742C10"/>
    <w:rsid w:val="00742DDE"/>
    <w:rsid w:val="00742FC4"/>
    <w:rsid w:val="00743402"/>
    <w:rsid w:val="007438BE"/>
    <w:rsid w:val="00743A28"/>
    <w:rsid w:val="00743B73"/>
    <w:rsid w:val="00743DCA"/>
    <w:rsid w:val="00743F2B"/>
    <w:rsid w:val="007444D2"/>
    <w:rsid w:val="007445A0"/>
    <w:rsid w:val="007445E3"/>
    <w:rsid w:val="0074472A"/>
    <w:rsid w:val="00744937"/>
    <w:rsid w:val="00744A1A"/>
    <w:rsid w:val="0074524B"/>
    <w:rsid w:val="0074567C"/>
    <w:rsid w:val="00745901"/>
    <w:rsid w:val="00745AB5"/>
    <w:rsid w:val="00745D3B"/>
    <w:rsid w:val="00745F5B"/>
    <w:rsid w:val="00746587"/>
    <w:rsid w:val="0074691B"/>
    <w:rsid w:val="0074694A"/>
    <w:rsid w:val="00746CA8"/>
    <w:rsid w:val="0074702A"/>
    <w:rsid w:val="0074724C"/>
    <w:rsid w:val="00747294"/>
    <w:rsid w:val="0074799C"/>
    <w:rsid w:val="007479C9"/>
    <w:rsid w:val="00747AE2"/>
    <w:rsid w:val="00747D8B"/>
    <w:rsid w:val="0075017D"/>
    <w:rsid w:val="007503CE"/>
    <w:rsid w:val="007504A0"/>
    <w:rsid w:val="00750826"/>
    <w:rsid w:val="00750B51"/>
    <w:rsid w:val="00750CB1"/>
    <w:rsid w:val="00750E1E"/>
    <w:rsid w:val="00750FA9"/>
    <w:rsid w:val="00751142"/>
    <w:rsid w:val="00751228"/>
    <w:rsid w:val="0075156F"/>
    <w:rsid w:val="00751700"/>
    <w:rsid w:val="00751A6C"/>
    <w:rsid w:val="00751F8B"/>
    <w:rsid w:val="00752485"/>
    <w:rsid w:val="007526CD"/>
    <w:rsid w:val="00752F0B"/>
    <w:rsid w:val="0075314A"/>
    <w:rsid w:val="007532F8"/>
    <w:rsid w:val="00753576"/>
    <w:rsid w:val="007535A9"/>
    <w:rsid w:val="007535D9"/>
    <w:rsid w:val="00753933"/>
    <w:rsid w:val="00753AE4"/>
    <w:rsid w:val="00753CCB"/>
    <w:rsid w:val="00754221"/>
    <w:rsid w:val="00754298"/>
    <w:rsid w:val="0075449D"/>
    <w:rsid w:val="00754610"/>
    <w:rsid w:val="00754B2E"/>
    <w:rsid w:val="00754EAE"/>
    <w:rsid w:val="00755623"/>
    <w:rsid w:val="00756150"/>
    <w:rsid w:val="00756162"/>
    <w:rsid w:val="00756402"/>
    <w:rsid w:val="0075646C"/>
    <w:rsid w:val="0075667C"/>
    <w:rsid w:val="00756B3A"/>
    <w:rsid w:val="00757178"/>
    <w:rsid w:val="007571E1"/>
    <w:rsid w:val="00757670"/>
    <w:rsid w:val="00757D29"/>
    <w:rsid w:val="007604B2"/>
    <w:rsid w:val="0076090A"/>
    <w:rsid w:val="00760B1B"/>
    <w:rsid w:val="00760BBC"/>
    <w:rsid w:val="00761090"/>
    <w:rsid w:val="00761217"/>
    <w:rsid w:val="0076147C"/>
    <w:rsid w:val="00761750"/>
    <w:rsid w:val="0076178A"/>
    <w:rsid w:val="00761936"/>
    <w:rsid w:val="00761F15"/>
    <w:rsid w:val="0076221E"/>
    <w:rsid w:val="00762228"/>
    <w:rsid w:val="007622C6"/>
    <w:rsid w:val="007622FB"/>
    <w:rsid w:val="0076239C"/>
    <w:rsid w:val="00762432"/>
    <w:rsid w:val="00762A8E"/>
    <w:rsid w:val="00762DEA"/>
    <w:rsid w:val="00762E82"/>
    <w:rsid w:val="007634AE"/>
    <w:rsid w:val="00763562"/>
    <w:rsid w:val="00763857"/>
    <w:rsid w:val="0076388A"/>
    <w:rsid w:val="00763893"/>
    <w:rsid w:val="00763EF9"/>
    <w:rsid w:val="00764178"/>
    <w:rsid w:val="00764405"/>
    <w:rsid w:val="00764614"/>
    <w:rsid w:val="00764B35"/>
    <w:rsid w:val="00764C0E"/>
    <w:rsid w:val="00764D13"/>
    <w:rsid w:val="00764DAC"/>
    <w:rsid w:val="00764E2E"/>
    <w:rsid w:val="00764EA7"/>
    <w:rsid w:val="00764F11"/>
    <w:rsid w:val="0076525D"/>
    <w:rsid w:val="00765281"/>
    <w:rsid w:val="007652C1"/>
    <w:rsid w:val="00765854"/>
    <w:rsid w:val="007658C1"/>
    <w:rsid w:val="007658CE"/>
    <w:rsid w:val="00765BE2"/>
    <w:rsid w:val="00765D19"/>
    <w:rsid w:val="00766257"/>
    <w:rsid w:val="007662C3"/>
    <w:rsid w:val="007662C6"/>
    <w:rsid w:val="00766377"/>
    <w:rsid w:val="007664D0"/>
    <w:rsid w:val="00766874"/>
    <w:rsid w:val="007668E2"/>
    <w:rsid w:val="007668F8"/>
    <w:rsid w:val="00766931"/>
    <w:rsid w:val="00766BAD"/>
    <w:rsid w:val="00766F01"/>
    <w:rsid w:val="00766F43"/>
    <w:rsid w:val="00767258"/>
    <w:rsid w:val="0076729A"/>
    <w:rsid w:val="00767509"/>
    <w:rsid w:val="0076788D"/>
    <w:rsid w:val="00767906"/>
    <w:rsid w:val="007705B6"/>
    <w:rsid w:val="007705F5"/>
    <w:rsid w:val="00771B44"/>
    <w:rsid w:val="0077239A"/>
    <w:rsid w:val="00772409"/>
    <w:rsid w:val="0077288C"/>
    <w:rsid w:val="007728CC"/>
    <w:rsid w:val="007729A2"/>
    <w:rsid w:val="00772A49"/>
    <w:rsid w:val="00772BD8"/>
    <w:rsid w:val="0077320B"/>
    <w:rsid w:val="0077348A"/>
    <w:rsid w:val="007738AA"/>
    <w:rsid w:val="00773DE8"/>
    <w:rsid w:val="0077427E"/>
    <w:rsid w:val="00774493"/>
    <w:rsid w:val="007747B3"/>
    <w:rsid w:val="00774960"/>
    <w:rsid w:val="00774D19"/>
    <w:rsid w:val="00774D3A"/>
    <w:rsid w:val="007750EE"/>
    <w:rsid w:val="00775333"/>
    <w:rsid w:val="007755F2"/>
    <w:rsid w:val="00775F59"/>
    <w:rsid w:val="00775FEC"/>
    <w:rsid w:val="00776971"/>
    <w:rsid w:val="00776C1E"/>
    <w:rsid w:val="00777036"/>
    <w:rsid w:val="0077704E"/>
    <w:rsid w:val="00777167"/>
    <w:rsid w:val="007771A9"/>
    <w:rsid w:val="007771F5"/>
    <w:rsid w:val="0077777B"/>
    <w:rsid w:val="00777884"/>
    <w:rsid w:val="007778CF"/>
    <w:rsid w:val="00777A59"/>
    <w:rsid w:val="007806A7"/>
    <w:rsid w:val="00780779"/>
    <w:rsid w:val="0078085F"/>
    <w:rsid w:val="007808F7"/>
    <w:rsid w:val="00780A80"/>
    <w:rsid w:val="00780AAB"/>
    <w:rsid w:val="00780CC4"/>
    <w:rsid w:val="00780E79"/>
    <w:rsid w:val="0078110F"/>
    <w:rsid w:val="00781423"/>
    <w:rsid w:val="00781749"/>
    <w:rsid w:val="0078177E"/>
    <w:rsid w:val="00781AF3"/>
    <w:rsid w:val="007822D7"/>
    <w:rsid w:val="00782548"/>
    <w:rsid w:val="00782753"/>
    <w:rsid w:val="00782D39"/>
    <w:rsid w:val="00782D58"/>
    <w:rsid w:val="0078304C"/>
    <w:rsid w:val="0078341A"/>
    <w:rsid w:val="007834C3"/>
    <w:rsid w:val="00783673"/>
    <w:rsid w:val="00783BD5"/>
    <w:rsid w:val="00783BE1"/>
    <w:rsid w:val="00783C78"/>
    <w:rsid w:val="00783D65"/>
    <w:rsid w:val="00784407"/>
    <w:rsid w:val="007845DC"/>
    <w:rsid w:val="007847D5"/>
    <w:rsid w:val="007849EB"/>
    <w:rsid w:val="00784C4B"/>
    <w:rsid w:val="00784D5B"/>
    <w:rsid w:val="00784E0B"/>
    <w:rsid w:val="00785259"/>
    <w:rsid w:val="00785490"/>
    <w:rsid w:val="00785786"/>
    <w:rsid w:val="00785A20"/>
    <w:rsid w:val="00785FF1"/>
    <w:rsid w:val="00786051"/>
    <w:rsid w:val="00786164"/>
    <w:rsid w:val="007861D2"/>
    <w:rsid w:val="0078644A"/>
    <w:rsid w:val="007865D4"/>
    <w:rsid w:val="00786E3C"/>
    <w:rsid w:val="0078711E"/>
    <w:rsid w:val="0078750A"/>
    <w:rsid w:val="0079000C"/>
    <w:rsid w:val="007905D2"/>
    <w:rsid w:val="0079079D"/>
    <w:rsid w:val="00790F02"/>
    <w:rsid w:val="007912C9"/>
    <w:rsid w:val="00791535"/>
    <w:rsid w:val="007916CB"/>
    <w:rsid w:val="00791837"/>
    <w:rsid w:val="00791B0A"/>
    <w:rsid w:val="007922FA"/>
    <w:rsid w:val="00792506"/>
    <w:rsid w:val="007925EA"/>
    <w:rsid w:val="0079272D"/>
    <w:rsid w:val="00792D6C"/>
    <w:rsid w:val="00792DF9"/>
    <w:rsid w:val="00793128"/>
    <w:rsid w:val="00793298"/>
    <w:rsid w:val="00793ADC"/>
    <w:rsid w:val="00793B80"/>
    <w:rsid w:val="00793C88"/>
    <w:rsid w:val="00793CD8"/>
    <w:rsid w:val="00794207"/>
    <w:rsid w:val="00794360"/>
    <w:rsid w:val="00794552"/>
    <w:rsid w:val="007945A4"/>
    <w:rsid w:val="00794634"/>
    <w:rsid w:val="00794955"/>
    <w:rsid w:val="00794E5C"/>
    <w:rsid w:val="00794E99"/>
    <w:rsid w:val="00794F45"/>
    <w:rsid w:val="007956CF"/>
    <w:rsid w:val="0079585F"/>
    <w:rsid w:val="007958C9"/>
    <w:rsid w:val="00795C92"/>
    <w:rsid w:val="00796231"/>
    <w:rsid w:val="00796348"/>
    <w:rsid w:val="00796A63"/>
    <w:rsid w:val="00797002"/>
    <w:rsid w:val="00797173"/>
    <w:rsid w:val="00797377"/>
    <w:rsid w:val="00797570"/>
    <w:rsid w:val="00797AC2"/>
    <w:rsid w:val="00797D17"/>
    <w:rsid w:val="00797FA3"/>
    <w:rsid w:val="007A01F7"/>
    <w:rsid w:val="007A0203"/>
    <w:rsid w:val="007A026E"/>
    <w:rsid w:val="007A0434"/>
    <w:rsid w:val="007A0469"/>
    <w:rsid w:val="007A0A79"/>
    <w:rsid w:val="007A0AFD"/>
    <w:rsid w:val="007A0D17"/>
    <w:rsid w:val="007A1244"/>
    <w:rsid w:val="007A15C4"/>
    <w:rsid w:val="007A189C"/>
    <w:rsid w:val="007A18CD"/>
    <w:rsid w:val="007A1932"/>
    <w:rsid w:val="007A1CB3"/>
    <w:rsid w:val="007A1F4F"/>
    <w:rsid w:val="007A20CA"/>
    <w:rsid w:val="007A2980"/>
    <w:rsid w:val="007A2FB0"/>
    <w:rsid w:val="007A306F"/>
    <w:rsid w:val="007A31E2"/>
    <w:rsid w:val="007A3628"/>
    <w:rsid w:val="007A3868"/>
    <w:rsid w:val="007A3884"/>
    <w:rsid w:val="007A3C2E"/>
    <w:rsid w:val="007A3C99"/>
    <w:rsid w:val="007A40E6"/>
    <w:rsid w:val="007A43A6"/>
    <w:rsid w:val="007A4472"/>
    <w:rsid w:val="007A44B6"/>
    <w:rsid w:val="007A468A"/>
    <w:rsid w:val="007A46D9"/>
    <w:rsid w:val="007A4820"/>
    <w:rsid w:val="007A48B3"/>
    <w:rsid w:val="007A4BBF"/>
    <w:rsid w:val="007A4C43"/>
    <w:rsid w:val="007A56F3"/>
    <w:rsid w:val="007A5801"/>
    <w:rsid w:val="007A58A6"/>
    <w:rsid w:val="007A5B5A"/>
    <w:rsid w:val="007A5D3E"/>
    <w:rsid w:val="007A6026"/>
    <w:rsid w:val="007A60BE"/>
    <w:rsid w:val="007A6114"/>
    <w:rsid w:val="007A6259"/>
    <w:rsid w:val="007A6569"/>
    <w:rsid w:val="007A699B"/>
    <w:rsid w:val="007A6A55"/>
    <w:rsid w:val="007A7022"/>
    <w:rsid w:val="007A736E"/>
    <w:rsid w:val="007A77BD"/>
    <w:rsid w:val="007A7B8A"/>
    <w:rsid w:val="007A7BEC"/>
    <w:rsid w:val="007A7D41"/>
    <w:rsid w:val="007A7DC9"/>
    <w:rsid w:val="007B01DC"/>
    <w:rsid w:val="007B091D"/>
    <w:rsid w:val="007B0998"/>
    <w:rsid w:val="007B0BD1"/>
    <w:rsid w:val="007B0F5E"/>
    <w:rsid w:val="007B0FA5"/>
    <w:rsid w:val="007B102C"/>
    <w:rsid w:val="007B14EA"/>
    <w:rsid w:val="007B1A30"/>
    <w:rsid w:val="007B1A56"/>
    <w:rsid w:val="007B220A"/>
    <w:rsid w:val="007B2301"/>
    <w:rsid w:val="007B23C8"/>
    <w:rsid w:val="007B2E93"/>
    <w:rsid w:val="007B30EA"/>
    <w:rsid w:val="007B3148"/>
    <w:rsid w:val="007B331D"/>
    <w:rsid w:val="007B3849"/>
    <w:rsid w:val="007B3867"/>
    <w:rsid w:val="007B3920"/>
    <w:rsid w:val="007B3D2D"/>
    <w:rsid w:val="007B422D"/>
    <w:rsid w:val="007B4409"/>
    <w:rsid w:val="007B478A"/>
    <w:rsid w:val="007B4D39"/>
    <w:rsid w:val="007B4F88"/>
    <w:rsid w:val="007B50AE"/>
    <w:rsid w:val="007B5191"/>
    <w:rsid w:val="007B51DF"/>
    <w:rsid w:val="007B52A7"/>
    <w:rsid w:val="007B5536"/>
    <w:rsid w:val="007B58BF"/>
    <w:rsid w:val="007B5964"/>
    <w:rsid w:val="007B5B04"/>
    <w:rsid w:val="007B5F48"/>
    <w:rsid w:val="007B5FE0"/>
    <w:rsid w:val="007B645A"/>
    <w:rsid w:val="007B65CF"/>
    <w:rsid w:val="007B6774"/>
    <w:rsid w:val="007B68BA"/>
    <w:rsid w:val="007B6A1F"/>
    <w:rsid w:val="007B6B0F"/>
    <w:rsid w:val="007B6E51"/>
    <w:rsid w:val="007B72BD"/>
    <w:rsid w:val="007B74C7"/>
    <w:rsid w:val="007B7AAA"/>
    <w:rsid w:val="007B7F7D"/>
    <w:rsid w:val="007C01C6"/>
    <w:rsid w:val="007C0227"/>
    <w:rsid w:val="007C03D6"/>
    <w:rsid w:val="007C05DD"/>
    <w:rsid w:val="007C16E2"/>
    <w:rsid w:val="007C1B26"/>
    <w:rsid w:val="007C1F54"/>
    <w:rsid w:val="007C23EE"/>
    <w:rsid w:val="007C2839"/>
    <w:rsid w:val="007C2B27"/>
    <w:rsid w:val="007C2EB0"/>
    <w:rsid w:val="007C2F31"/>
    <w:rsid w:val="007C3185"/>
    <w:rsid w:val="007C318F"/>
    <w:rsid w:val="007C31BF"/>
    <w:rsid w:val="007C3805"/>
    <w:rsid w:val="007C3BDC"/>
    <w:rsid w:val="007C3C0E"/>
    <w:rsid w:val="007C3D18"/>
    <w:rsid w:val="007C3EDA"/>
    <w:rsid w:val="007C3EF9"/>
    <w:rsid w:val="007C431E"/>
    <w:rsid w:val="007C4449"/>
    <w:rsid w:val="007C46F7"/>
    <w:rsid w:val="007C485D"/>
    <w:rsid w:val="007C4D42"/>
    <w:rsid w:val="007C4E46"/>
    <w:rsid w:val="007C4EB0"/>
    <w:rsid w:val="007C528A"/>
    <w:rsid w:val="007C5796"/>
    <w:rsid w:val="007C5995"/>
    <w:rsid w:val="007C5BF4"/>
    <w:rsid w:val="007C5FAF"/>
    <w:rsid w:val="007C60BF"/>
    <w:rsid w:val="007C6591"/>
    <w:rsid w:val="007C66EF"/>
    <w:rsid w:val="007C6782"/>
    <w:rsid w:val="007C68AB"/>
    <w:rsid w:val="007C68F2"/>
    <w:rsid w:val="007C6A07"/>
    <w:rsid w:val="007C6CDC"/>
    <w:rsid w:val="007C70D4"/>
    <w:rsid w:val="007C75A1"/>
    <w:rsid w:val="007C77A5"/>
    <w:rsid w:val="007C7886"/>
    <w:rsid w:val="007C7BAA"/>
    <w:rsid w:val="007C7D8E"/>
    <w:rsid w:val="007C7E9A"/>
    <w:rsid w:val="007D04E5"/>
    <w:rsid w:val="007D09F6"/>
    <w:rsid w:val="007D0B3E"/>
    <w:rsid w:val="007D0C65"/>
    <w:rsid w:val="007D0F9E"/>
    <w:rsid w:val="007D149E"/>
    <w:rsid w:val="007D14C3"/>
    <w:rsid w:val="007D2064"/>
    <w:rsid w:val="007D21FF"/>
    <w:rsid w:val="007D23EE"/>
    <w:rsid w:val="007D24C9"/>
    <w:rsid w:val="007D253E"/>
    <w:rsid w:val="007D2717"/>
    <w:rsid w:val="007D27AE"/>
    <w:rsid w:val="007D2E1E"/>
    <w:rsid w:val="007D2E1F"/>
    <w:rsid w:val="007D2E29"/>
    <w:rsid w:val="007D2E63"/>
    <w:rsid w:val="007D30B0"/>
    <w:rsid w:val="007D3475"/>
    <w:rsid w:val="007D41A2"/>
    <w:rsid w:val="007D4357"/>
    <w:rsid w:val="007D45CE"/>
    <w:rsid w:val="007D4797"/>
    <w:rsid w:val="007D49CA"/>
    <w:rsid w:val="007D4A35"/>
    <w:rsid w:val="007D4A96"/>
    <w:rsid w:val="007D4C64"/>
    <w:rsid w:val="007D4DD7"/>
    <w:rsid w:val="007D5490"/>
    <w:rsid w:val="007D5901"/>
    <w:rsid w:val="007D5A4F"/>
    <w:rsid w:val="007D5DDD"/>
    <w:rsid w:val="007D6161"/>
    <w:rsid w:val="007D665F"/>
    <w:rsid w:val="007D6896"/>
    <w:rsid w:val="007D68B2"/>
    <w:rsid w:val="007D6909"/>
    <w:rsid w:val="007D6C76"/>
    <w:rsid w:val="007D6D77"/>
    <w:rsid w:val="007D7526"/>
    <w:rsid w:val="007D7842"/>
    <w:rsid w:val="007D7A1E"/>
    <w:rsid w:val="007D7F79"/>
    <w:rsid w:val="007E0215"/>
    <w:rsid w:val="007E0DA5"/>
    <w:rsid w:val="007E10E6"/>
    <w:rsid w:val="007E15FF"/>
    <w:rsid w:val="007E17A2"/>
    <w:rsid w:val="007E1969"/>
    <w:rsid w:val="007E1B9B"/>
    <w:rsid w:val="007E1BF2"/>
    <w:rsid w:val="007E1CD3"/>
    <w:rsid w:val="007E1F38"/>
    <w:rsid w:val="007E2225"/>
    <w:rsid w:val="007E27FD"/>
    <w:rsid w:val="007E2AEE"/>
    <w:rsid w:val="007E2BFF"/>
    <w:rsid w:val="007E2E7B"/>
    <w:rsid w:val="007E3573"/>
    <w:rsid w:val="007E37EC"/>
    <w:rsid w:val="007E40A0"/>
    <w:rsid w:val="007E4610"/>
    <w:rsid w:val="007E4715"/>
    <w:rsid w:val="007E47B2"/>
    <w:rsid w:val="007E483E"/>
    <w:rsid w:val="007E5038"/>
    <w:rsid w:val="007E505B"/>
    <w:rsid w:val="007E55FF"/>
    <w:rsid w:val="007E5767"/>
    <w:rsid w:val="007E5915"/>
    <w:rsid w:val="007E5A70"/>
    <w:rsid w:val="007E5AA6"/>
    <w:rsid w:val="007E5B24"/>
    <w:rsid w:val="007E5B89"/>
    <w:rsid w:val="007E5E7D"/>
    <w:rsid w:val="007E6477"/>
    <w:rsid w:val="007E69AF"/>
    <w:rsid w:val="007E6E00"/>
    <w:rsid w:val="007E6E47"/>
    <w:rsid w:val="007E7091"/>
    <w:rsid w:val="007E767B"/>
    <w:rsid w:val="007E7B85"/>
    <w:rsid w:val="007F013A"/>
    <w:rsid w:val="007F02E2"/>
    <w:rsid w:val="007F0C46"/>
    <w:rsid w:val="007F0D5C"/>
    <w:rsid w:val="007F0D8F"/>
    <w:rsid w:val="007F0F3B"/>
    <w:rsid w:val="007F1077"/>
    <w:rsid w:val="007F117A"/>
    <w:rsid w:val="007F1385"/>
    <w:rsid w:val="007F148F"/>
    <w:rsid w:val="007F167E"/>
    <w:rsid w:val="007F1C76"/>
    <w:rsid w:val="007F1D6B"/>
    <w:rsid w:val="007F1DAD"/>
    <w:rsid w:val="007F2555"/>
    <w:rsid w:val="007F2FE1"/>
    <w:rsid w:val="007F3295"/>
    <w:rsid w:val="007F3501"/>
    <w:rsid w:val="007F366F"/>
    <w:rsid w:val="007F3743"/>
    <w:rsid w:val="007F38A8"/>
    <w:rsid w:val="007F3993"/>
    <w:rsid w:val="007F3C67"/>
    <w:rsid w:val="007F3F8B"/>
    <w:rsid w:val="007F55F0"/>
    <w:rsid w:val="007F56E3"/>
    <w:rsid w:val="007F5822"/>
    <w:rsid w:val="007F5893"/>
    <w:rsid w:val="007F5B15"/>
    <w:rsid w:val="007F5BA2"/>
    <w:rsid w:val="007F5BE5"/>
    <w:rsid w:val="007F5D91"/>
    <w:rsid w:val="007F67D6"/>
    <w:rsid w:val="007F6984"/>
    <w:rsid w:val="007F6D9D"/>
    <w:rsid w:val="007F7368"/>
    <w:rsid w:val="007F7B8E"/>
    <w:rsid w:val="007F7C65"/>
    <w:rsid w:val="007F7D40"/>
    <w:rsid w:val="00800244"/>
    <w:rsid w:val="00800313"/>
    <w:rsid w:val="008006FD"/>
    <w:rsid w:val="00800911"/>
    <w:rsid w:val="00800C76"/>
    <w:rsid w:val="00800FFD"/>
    <w:rsid w:val="008010A3"/>
    <w:rsid w:val="00801257"/>
    <w:rsid w:val="00801343"/>
    <w:rsid w:val="008013BF"/>
    <w:rsid w:val="00801411"/>
    <w:rsid w:val="0080197B"/>
    <w:rsid w:val="00801A1A"/>
    <w:rsid w:val="00802360"/>
    <w:rsid w:val="0080250C"/>
    <w:rsid w:val="00802748"/>
    <w:rsid w:val="00802A4D"/>
    <w:rsid w:val="00802B4E"/>
    <w:rsid w:val="00802BEE"/>
    <w:rsid w:val="00802D64"/>
    <w:rsid w:val="00802E48"/>
    <w:rsid w:val="008031EB"/>
    <w:rsid w:val="008033D4"/>
    <w:rsid w:val="00803405"/>
    <w:rsid w:val="008034AE"/>
    <w:rsid w:val="008035DA"/>
    <w:rsid w:val="0080373B"/>
    <w:rsid w:val="00803773"/>
    <w:rsid w:val="0080388E"/>
    <w:rsid w:val="00803C3E"/>
    <w:rsid w:val="00803FAE"/>
    <w:rsid w:val="0080459C"/>
    <w:rsid w:val="00804637"/>
    <w:rsid w:val="0080466A"/>
    <w:rsid w:val="008049D7"/>
    <w:rsid w:val="00804AA6"/>
    <w:rsid w:val="00804FEC"/>
    <w:rsid w:val="00805408"/>
    <w:rsid w:val="0080565C"/>
    <w:rsid w:val="0080573E"/>
    <w:rsid w:val="00805786"/>
    <w:rsid w:val="00805824"/>
    <w:rsid w:val="0080590A"/>
    <w:rsid w:val="0080594D"/>
    <w:rsid w:val="00805E21"/>
    <w:rsid w:val="0080605F"/>
    <w:rsid w:val="008062A4"/>
    <w:rsid w:val="0080662D"/>
    <w:rsid w:val="00806672"/>
    <w:rsid w:val="008067BC"/>
    <w:rsid w:val="00806814"/>
    <w:rsid w:val="0080693A"/>
    <w:rsid w:val="008069BB"/>
    <w:rsid w:val="00806BB3"/>
    <w:rsid w:val="00806E4C"/>
    <w:rsid w:val="00807032"/>
    <w:rsid w:val="0080765F"/>
    <w:rsid w:val="00807713"/>
    <w:rsid w:val="0080777E"/>
    <w:rsid w:val="00807786"/>
    <w:rsid w:val="00807CEB"/>
    <w:rsid w:val="008100A4"/>
    <w:rsid w:val="00810233"/>
    <w:rsid w:val="00810B37"/>
    <w:rsid w:val="00810D6D"/>
    <w:rsid w:val="00810F90"/>
    <w:rsid w:val="00811004"/>
    <w:rsid w:val="008111D8"/>
    <w:rsid w:val="0081155B"/>
    <w:rsid w:val="0081185C"/>
    <w:rsid w:val="00811918"/>
    <w:rsid w:val="00811E68"/>
    <w:rsid w:val="00811EE6"/>
    <w:rsid w:val="00811EFF"/>
    <w:rsid w:val="00811FCB"/>
    <w:rsid w:val="008121FD"/>
    <w:rsid w:val="0081228D"/>
    <w:rsid w:val="00812653"/>
    <w:rsid w:val="00812974"/>
    <w:rsid w:val="00812A12"/>
    <w:rsid w:val="00812C1B"/>
    <w:rsid w:val="008131C2"/>
    <w:rsid w:val="008133B2"/>
    <w:rsid w:val="00813717"/>
    <w:rsid w:val="0081487F"/>
    <w:rsid w:val="008148F7"/>
    <w:rsid w:val="008149DC"/>
    <w:rsid w:val="00814DD9"/>
    <w:rsid w:val="00814EC6"/>
    <w:rsid w:val="00814F7F"/>
    <w:rsid w:val="008150F2"/>
    <w:rsid w:val="0081512E"/>
    <w:rsid w:val="008155F2"/>
    <w:rsid w:val="008158D6"/>
    <w:rsid w:val="008158F9"/>
    <w:rsid w:val="00815BDE"/>
    <w:rsid w:val="00815D00"/>
    <w:rsid w:val="00815F8B"/>
    <w:rsid w:val="00816029"/>
    <w:rsid w:val="00816067"/>
    <w:rsid w:val="008161A0"/>
    <w:rsid w:val="00816326"/>
    <w:rsid w:val="00816694"/>
    <w:rsid w:val="00816916"/>
    <w:rsid w:val="00816B31"/>
    <w:rsid w:val="0081702C"/>
    <w:rsid w:val="00817196"/>
    <w:rsid w:val="008173FD"/>
    <w:rsid w:val="00817EC5"/>
    <w:rsid w:val="00817EC7"/>
    <w:rsid w:val="00817F3C"/>
    <w:rsid w:val="008202CC"/>
    <w:rsid w:val="008204A8"/>
    <w:rsid w:val="008208AE"/>
    <w:rsid w:val="00820DC9"/>
    <w:rsid w:val="0082124F"/>
    <w:rsid w:val="0082130D"/>
    <w:rsid w:val="008215D6"/>
    <w:rsid w:val="008216FF"/>
    <w:rsid w:val="008218ED"/>
    <w:rsid w:val="00821AAC"/>
    <w:rsid w:val="00821C27"/>
    <w:rsid w:val="00821FA6"/>
    <w:rsid w:val="0082221C"/>
    <w:rsid w:val="00822318"/>
    <w:rsid w:val="00822785"/>
    <w:rsid w:val="008229F5"/>
    <w:rsid w:val="00822C21"/>
    <w:rsid w:val="00822FC0"/>
    <w:rsid w:val="008233B6"/>
    <w:rsid w:val="008235DB"/>
    <w:rsid w:val="00823AC5"/>
    <w:rsid w:val="00823EE8"/>
    <w:rsid w:val="008244C5"/>
    <w:rsid w:val="00824AB4"/>
    <w:rsid w:val="00825272"/>
    <w:rsid w:val="00825438"/>
    <w:rsid w:val="00825564"/>
    <w:rsid w:val="008256A0"/>
    <w:rsid w:val="008257A5"/>
    <w:rsid w:val="00825C42"/>
    <w:rsid w:val="00825CB5"/>
    <w:rsid w:val="00825D25"/>
    <w:rsid w:val="00825D84"/>
    <w:rsid w:val="00825DC8"/>
    <w:rsid w:val="00826063"/>
    <w:rsid w:val="00826315"/>
    <w:rsid w:val="00826540"/>
    <w:rsid w:val="00826643"/>
    <w:rsid w:val="008266B2"/>
    <w:rsid w:val="00826824"/>
    <w:rsid w:val="00826A22"/>
    <w:rsid w:val="0082706A"/>
    <w:rsid w:val="00827085"/>
    <w:rsid w:val="00827099"/>
    <w:rsid w:val="008271C5"/>
    <w:rsid w:val="008273B3"/>
    <w:rsid w:val="00827458"/>
    <w:rsid w:val="00827559"/>
    <w:rsid w:val="00827587"/>
    <w:rsid w:val="008276F6"/>
    <w:rsid w:val="00827D6F"/>
    <w:rsid w:val="00827DDB"/>
    <w:rsid w:val="00830292"/>
    <w:rsid w:val="00830305"/>
    <w:rsid w:val="00830CF3"/>
    <w:rsid w:val="00830DFC"/>
    <w:rsid w:val="00830EC7"/>
    <w:rsid w:val="00830EF6"/>
    <w:rsid w:val="0083123C"/>
    <w:rsid w:val="00831704"/>
    <w:rsid w:val="008317D2"/>
    <w:rsid w:val="00831848"/>
    <w:rsid w:val="00831D8C"/>
    <w:rsid w:val="00831DEE"/>
    <w:rsid w:val="008321E5"/>
    <w:rsid w:val="008323C5"/>
    <w:rsid w:val="008324AF"/>
    <w:rsid w:val="0083252E"/>
    <w:rsid w:val="00832A67"/>
    <w:rsid w:val="00832B60"/>
    <w:rsid w:val="00832DD8"/>
    <w:rsid w:val="0083300E"/>
    <w:rsid w:val="0083319C"/>
    <w:rsid w:val="008332BA"/>
    <w:rsid w:val="00833469"/>
    <w:rsid w:val="00833527"/>
    <w:rsid w:val="00833654"/>
    <w:rsid w:val="00833C1A"/>
    <w:rsid w:val="00833CBC"/>
    <w:rsid w:val="0083407E"/>
    <w:rsid w:val="008344CD"/>
    <w:rsid w:val="008345CD"/>
    <w:rsid w:val="00834767"/>
    <w:rsid w:val="0083479A"/>
    <w:rsid w:val="00834C9A"/>
    <w:rsid w:val="00834EB0"/>
    <w:rsid w:val="008350B8"/>
    <w:rsid w:val="00835A8A"/>
    <w:rsid w:val="00835D78"/>
    <w:rsid w:val="008362F1"/>
    <w:rsid w:val="00836511"/>
    <w:rsid w:val="0083686A"/>
    <w:rsid w:val="008369CB"/>
    <w:rsid w:val="00836B56"/>
    <w:rsid w:val="00836B97"/>
    <w:rsid w:val="00836EB1"/>
    <w:rsid w:val="0083727A"/>
    <w:rsid w:val="008375D1"/>
    <w:rsid w:val="008376AC"/>
    <w:rsid w:val="00837790"/>
    <w:rsid w:val="00837D7C"/>
    <w:rsid w:val="00837F5F"/>
    <w:rsid w:val="00837FBE"/>
    <w:rsid w:val="008400C1"/>
    <w:rsid w:val="008400CF"/>
    <w:rsid w:val="00841307"/>
    <w:rsid w:val="008416FE"/>
    <w:rsid w:val="00841994"/>
    <w:rsid w:val="00841F6D"/>
    <w:rsid w:val="0084211D"/>
    <w:rsid w:val="00842140"/>
    <w:rsid w:val="00842F29"/>
    <w:rsid w:val="00842FAD"/>
    <w:rsid w:val="008439BC"/>
    <w:rsid w:val="008442B7"/>
    <w:rsid w:val="008443C5"/>
    <w:rsid w:val="008444E8"/>
    <w:rsid w:val="00844A84"/>
    <w:rsid w:val="00844A98"/>
    <w:rsid w:val="00844CAD"/>
    <w:rsid w:val="00844CEF"/>
    <w:rsid w:val="00844E46"/>
    <w:rsid w:val="00844E80"/>
    <w:rsid w:val="00844F83"/>
    <w:rsid w:val="00844FC7"/>
    <w:rsid w:val="008450B2"/>
    <w:rsid w:val="008450F1"/>
    <w:rsid w:val="00845418"/>
    <w:rsid w:val="0084565A"/>
    <w:rsid w:val="0084595D"/>
    <w:rsid w:val="00845D00"/>
    <w:rsid w:val="00845D9B"/>
    <w:rsid w:val="00845EB4"/>
    <w:rsid w:val="00846035"/>
    <w:rsid w:val="00846205"/>
    <w:rsid w:val="0084693A"/>
    <w:rsid w:val="0084698D"/>
    <w:rsid w:val="00846C16"/>
    <w:rsid w:val="00846F0C"/>
    <w:rsid w:val="00846FE7"/>
    <w:rsid w:val="008472E0"/>
    <w:rsid w:val="0084741E"/>
    <w:rsid w:val="0084791B"/>
    <w:rsid w:val="00847933"/>
    <w:rsid w:val="00847B79"/>
    <w:rsid w:val="00847BFF"/>
    <w:rsid w:val="00847E54"/>
    <w:rsid w:val="008501A4"/>
    <w:rsid w:val="00850515"/>
    <w:rsid w:val="008506CE"/>
    <w:rsid w:val="00850762"/>
    <w:rsid w:val="008508B3"/>
    <w:rsid w:val="008510DA"/>
    <w:rsid w:val="00851676"/>
    <w:rsid w:val="00851736"/>
    <w:rsid w:val="008518A7"/>
    <w:rsid w:val="00851EEA"/>
    <w:rsid w:val="00851EF5"/>
    <w:rsid w:val="00852140"/>
    <w:rsid w:val="00852724"/>
    <w:rsid w:val="00852784"/>
    <w:rsid w:val="008528BB"/>
    <w:rsid w:val="00852B4C"/>
    <w:rsid w:val="00852CFC"/>
    <w:rsid w:val="00852F4A"/>
    <w:rsid w:val="008530B8"/>
    <w:rsid w:val="008531D9"/>
    <w:rsid w:val="0085339A"/>
    <w:rsid w:val="0085339D"/>
    <w:rsid w:val="008536CA"/>
    <w:rsid w:val="00853E32"/>
    <w:rsid w:val="00854165"/>
    <w:rsid w:val="008541C5"/>
    <w:rsid w:val="00854483"/>
    <w:rsid w:val="008546A2"/>
    <w:rsid w:val="00854901"/>
    <w:rsid w:val="00854D4A"/>
    <w:rsid w:val="00854DAA"/>
    <w:rsid w:val="008552D4"/>
    <w:rsid w:val="0085533A"/>
    <w:rsid w:val="0085591C"/>
    <w:rsid w:val="00855EA1"/>
    <w:rsid w:val="008560D2"/>
    <w:rsid w:val="008562DB"/>
    <w:rsid w:val="00856366"/>
    <w:rsid w:val="0085677A"/>
    <w:rsid w:val="008568A4"/>
    <w:rsid w:val="00856911"/>
    <w:rsid w:val="008569A5"/>
    <w:rsid w:val="00856AA5"/>
    <w:rsid w:val="00857169"/>
    <w:rsid w:val="008576BD"/>
    <w:rsid w:val="00857DD4"/>
    <w:rsid w:val="008602D4"/>
    <w:rsid w:val="00860475"/>
    <w:rsid w:val="008609C7"/>
    <w:rsid w:val="00860A6D"/>
    <w:rsid w:val="00860C7B"/>
    <w:rsid w:val="00860D20"/>
    <w:rsid w:val="00860E42"/>
    <w:rsid w:val="0086156F"/>
    <w:rsid w:val="00861B19"/>
    <w:rsid w:val="00861CA0"/>
    <w:rsid w:val="00861E08"/>
    <w:rsid w:val="0086208D"/>
    <w:rsid w:val="0086215B"/>
    <w:rsid w:val="0086231A"/>
    <w:rsid w:val="008624E3"/>
    <w:rsid w:val="0086298C"/>
    <w:rsid w:val="00862B23"/>
    <w:rsid w:val="008631B4"/>
    <w:rsid w:val="008633AA"/>
    <w:rsid w:val="00863644"/>
    <w:rsid w:val="00863D79"/>
    <w:rsid w:val="00863E1A"/>
    <w:rsid w:val="00863F8A"/>
    <w:rsid w:val="0086466E"/>
    <w:rsid w:val="008647D6"/>
    <w:rsid w:val="00864951"/>
    <w:rsid w:val="00864BDA"/>
    <w:rsid w:val="00864D60"/>
    <w:rsid w:val="00865578"/>
    <w:rsid w:val="008655C8"/>
    <w:rsid w:val="008657EA"/>
    <w:rsid w:val="00865ADC"/>
    <w:rsid w:val="00865B15"/>
    <w:rsid w:val="008660EB"/>
    <w:rsid w:val="0086628A"/>
    <w:rsid w:val="008662A5"/>
    <w:rsid w:val="008664D1"/>
    <w:rsid w:val="00866753"/>
    <w:rsid w:val="00866B94"/>
    <w:rsid w:val="00866C9D"/>
    <w:rsid w:val="00866E95"/>
    <w:rsid w:val="00866F97"/>
    <w:rsid w:val="008671FB"/>
    <w:rsid w:val="00867324"/>
    <w:rsid w:val="0086737B"/>
    <w:rsid w:val="008674AF"/>
    <w:rsid w:val="00867544"/>
    <w:rsid w:val="008675DE"/>
    <w:rsid w:val="008675F2"/>
    <w:rsid w:val="0086765C"/>
    <w:rsid w:val="008677FD"/>
    <w:rsid w:val="00867A48"/>
    <w:rsid w:val="00867AA4"/>
    <w:rsid w:val="00867AB6"/>
    <w:rsid w:val="00867E48"/>
    <w:rsid w:val="0087048D"/>
    <w:rsid w:val="008705D2"/>
    <w:rsid w:val="008706D4"/>
    <w:rsid w:val="008707A7"/>
    <w:rsid w:val="008708A9"/>
    <w:rsid w:val="00870C45"/>
    <w:rsid w:val="00870CFC"/>
    <w:rsid w:val="00870F8A"/>
    <w:rsid w:val="008719A4"/>
    <w:rsid w:val="00871AA9"/>
    <w:rsid w:val="00871C6E"/>
    <w:rsid w:val="00871D23"/>
    <w:rsid w:val="00872086"/>
    <w:rsid w:val="00872122"/>
    <w:rsid w:val="00872303"/>
    <w:rsid w:val="0087238C"/>
    <w:rsid w:val="008728D2"/>
    <w:rsid w:val="00872B94"/>
    <w:rsid w:val="00872BD2"/>
    <w:rsid w:val="00872C64"/>
    <w:rsid w:val="00873407"/>
    <w:rsid w:val="00873A32"/>
    <w:rsid w:val="00873BAD"/>
    <w:rsid w:val="00873BFC"/>
    <w:rsid w:val="00873E77"/>
    <w:rsid w:val="00874221"/>
    <w:rsid w:val="008742BF"/>
    <w:rsid w:val="00874312"/>
    <w:rsid w:val="0087437C"/>
    <w:rsid w:val="0087449B"/>
    <w:rsid w:val="00874763"/>
    <w:rsid w:val="0087482A"/>
    <w:rsid w:val="008754B6"/>
    <w:rsid w:val="0087565F"/>
    <w:rsid w:val="00875791"/>
    <w:rsid w:val="00875CD6"/>
    <w:rsid w:val="00875CD7"/>
    <w:rsid w:val="00875FA7"/>
    <w:rsid w:val="00876B4D"/>
    <w:rsid w:val="00876BA4"/>
    <w:rsid w:val="00876EAF"/>
    <w:rsid w:val="00876F4B"/>
    <w:rsid w:val="00876F7E"/>
    <w:rsid w:val="0087721E"/>
    <w:rsid w:val="008775EE"/>
    <w:rsid w:val="008776E1"/>
    <w:rsid w:val="0087785E"/>
    <w:rsid w:val="008778F5"/>
    <w:rsid w:val="00877A6A"/>
    <w:rsid w:val="00877AA6"/>
    <w:rsid w:val="00877AE4"/>
    <w:rsid w:val="00877F18"/>
    <w:rsid w:val="0088029C"/>
    <w:rsid w:val="00880654"/>
    <w:rsid w:val="00880BA1"/>
    <w:rsid w:val="00880FA6"/>
    <w:rsid w:val="00881281"/>
    <w:rsid w:val="008818A4"/>
    <w:rsid w:val="00881AF9"/>
    <w:rsid w:val="00882754"/>
    <w:rsid w:val="00882A7D"/>
    <w:rsid w:val="00883414"/>
    <w:rsid w:val="00883DD5"/>
    <w:rsid w:val="00884A7C"/>
    <w:rsid w:val="00884B16"/>
    <w:rsid w:val="00884E9A"/>
    <w:rsid w:val="0088503A"/>
    <w:rsid w:val="00885260"/>
    <w:rsid w:val="00885382"/>
    <w:rsid w:val="008853E3"/>
    <w:rsid w:val="00885476"/>
    <w:rsid w:val="008854CA"/>
    <w:rsid w:val="00885579"/>
    <w:rsid w:val="00885CB5"/>
    <w:rsid w:val="008867EC"/>
    <w:rsid w:val="0088683D"/>
    <w:rsid w:val="008869E6"/>
    <w:rsid w:val="00886A7A"/>
    <w:rsid w:val="00886C16"/>
    <w:rsid w:val="00886EAA"/>
    <w:rsid w:val="00887036"/>
    <w:rsid w:val="008874E7"/>
    <w:rsid w:val="00887682"/>
    <w:rsid w:val="00887AEF"/>
    <w:rsid w:val="00887F9D"/>
    <w:rsid w:val="0089033A"/>
    <w:rsid w:val="00890502"/>
    <w:rsid w:val="00890693"/>
    <w:rsid w:val="00890746"/>
    <w:rsid w:val="0089078C"/>
    <w:rsid w:val="00890B6E"/>
    <w:rsid w:val="00890D69"/>
    <w:rsid w:val="00890DAE"/>
    <w:rsid w:val="00890F33"/>
    <w:rsid w:val="00890F35"/>
    <w:rsid w:val="00890F49"/>
    <w:rsid w:val="008910C7"/>
    <w:rsid w:val="0089118C"/>
    <w:rsid w:val="008916CF"/>
    <w:rsid w:val="00891934"/>
    <w:rsid w:val="008919E4"/>
    <w:rsid w:val="008919ED"/>
    <w:rsid w:val="00891D7B"/>
    <w:rsid w:val="00891D83"/>
    <w:rsid w:val="008920C5"/>
    <w:rsid w:val="00892127"/>
    <w:rsid w:val="0089236A"/>
    <w:rsid w:val="00892986"/>
    <w:rsid w:val="00892AD6"/>
    <w:rsid w:val="00892B05"/>
    <w:rsid w:val="008931E8"/>
    <w:rsid w:val="00893254"/>
    <w:rsid w:val="008933BB"/>
    <w:rsid w:val="008936D0"/>
    <w:rsid w:val="00893F51"/>
    <w:rsid w:val="008941E3"/>
    <w:rsid w:val="0089436F"/>
    <w:rsid w:val="00894503"/>
    <w:rsid w:val="0089479F"/>
    <w:rsid w:val="00894850"/>
    <w:rsid w:val="00894A88"/>
    <w:rsid w:val="00894B49"/>
    <w:rsid w:val="00894DCD"/>
    <w:rsid w:val="00895050"/>
    <w:rsid w:val="00895082"/>
    <w:rsid w:val="008950FA"/>
    <w:rsid w:val="00895136"/>
    <w:rsid w:val="00895386"/>
    <w:rsid w:val="00895699"/>
    <w:rsid w:val="00895D3D"/>
    <w:rsid w:val="00895DEC"/>
    <w:rsid w:val="00895E92"/>
    <w:rsid w:val="0089644D"/>
    <w:rsid w:val="0089683C"/>
    <w:rsid w:val="0089695D"/>
    <w:rsid w:val="00896975"/>
    <w:rsid w:val="00896A98"/>
    <w:rsid w:val="00896FA5"/>
    <w:rsid w:val="008977F9"/>
    <w:rsid w:val="00897BD4"/>
    <w:rsid w:val="00897C60"/>
    <w:rsid w:val="008A1296"/>
    <w:rsid w:val="008A19B7"/>
    <w:rsid w:val="008A1E2A"/>
    <w:rsid w:val="008A1F63"/>
    <w:rsid w:val="008A1FB4"/>
    <w:rsid w:val="008A21FF"/>
    <w:rsid w:val="008A223E"/>
    <w:rsid w:val="008A236C"/>
    <w:rsid w:val="008A2407"/>
    <w:rsid w:val="008A2537"/>
    <w:rsid w:val="008A2B1F"/>
    <w:rsid w:val="008A2C73"/>
    <w:rsid w:val="008A2C9E"/>
    <w:rsid w:val="008A2CE2"/>
    <w:rsid w:val="008A2D61"/>
    <w:rsid w:val="008A30AC"/>
    <w:rsid w:val="008A31A9"/>
    <w:rsid w:val="008A31D1"/>
    <w:rsid w:val="008A336A"/>
    <w:rsid w:val="008A3516"/>
    <w:rsid w:val="008A360F"/>
    <w:rsid w:val="008A3B4D"/>
    <w:rsid w:val="008A3B97"/>
    <w:rsid w:val="008A3BFA"/>
    <w:rsid w:val="008A408D"/>
    <w:rsid w:val="008A4413"/>
    <w:rsid w:val="008A44B8"/>
    <w:rsid w:val="008A45C6"/>
    <w:rsid w:val="008A470E"/>
    <w:rsid w:val="008A4CB5"/>
    <w:rsid w:val="008A5096"/>
    <w:rsid w:val="008A51A8"/>
    <w:rsid w:val="008A51C2"/>
    <w:rsid w:val="008A53BD"/>
    <w:rsid w:val="008A54C7"/>
    <w:rsid w:val="008A59D3"/>
    <w:rsid w:val="008A5A92"/>
    <w:rsid w:val="008A5DBD"/>
    <w:rsid w:val="008A63C0"/>
    <w:rsid w:val="008A67C4"/>
    <w:rsid w:val="008A680F"/>
    <w:rsid w:val="008A693F"/>
    <w:rsid w:val="008A7272"/>
    <w:rsid w:val="008A767E"/>
    <w:rsid w:val="008A77D8"/>
    <w:rsid w:val="008A7DA6"/>
    <w:rsid w:val="008A7DE3"/>
    <w:rsid w:val="008A7FEC"/>
    <w:rsid w:val="008B01A5"/>
    <w:rsid w:val="008B038A"/>
    <w:rsid w:val="008B0483"/>
    <w:rsid w:val="008B0974"/>
    <w:rsid w:val="008B0A74"/>
    <w:rsid w:val="008B0B2A"/>
    <w:rsid w:val="008B10FC"/>
    <w:rsid w:val="008B120C"/>
    <w:rsid w:val="008B1639"/>
    <w:rsid w:val="008B1DA0"/>
    <w:rsid w:val="008B22B6"/>
    <w:rsid w:val="008B266C"/>
    <w:rsid w:val="008B2AF6"/>
    <w:rsid w:val="008B2E1A"/>
    <w:rsid w:val="008B2FD6"/>
    <w:rsid w:val="008B3929"/>
    <w:rsid w:val="008B3CF6"/>
    <w:rsid w:val="008B4359"/>
    <w:rsid w:val="008B4625"/>
    <w:rsid w:val="008B4665"/>
    <w:rsid w:val="008B4BE9"/>
    <w:rsid w:val="008B4EE9"/>
    <w:rsid w:val="008B51A0"/>
    <w:rsid w:val="008B592A"/>
    <w:rsid w:val="008B5AB0"/>
    <w:rsid w:val="008B5EAB"/>
    <w:rsid w:val="008B5EAE"/>
    <w:rsid w:val="008B5EF4"/>
    <w:rsid w:val="008B60AE"/>
    <w:rsid w:val="008B6325"/>
    <w:rsid w:val="008B6906"/>
    <w:rsid w:val="008B70AA"/>
    <w:rsid w:val="008B781E"/>
    <w:rsid w:val="008B7867"/>
    <w:rsid w:val="008B786A"/>
    <w:rsid w:val="008B793C"/>
    <w:rsid w:val="008B7B5C"/>
    <w:rsid w:val="008B7FEC"/>
    <w:rsid w:val="008C0821"/>
    <w:rsid w:val="008C09B9"/>
    <w:rsid w:val="008C0A24"/>
    <w:rsid w:val="008C0C99"/>
    <w:rsid w:val="008C1160"/>
    <w:rsid w:val="008C144D"/>
    <w:rsid w:val="008C1802"/>
    <w:rsid w:val="008C1875"/>
    <w:rsid w:val="008C1C26"/>
    <w:rsid w:val="008C1D4E"/>
    <w:rsid w:val="008C2017"/>
    <w:rsid w:val="008C2050"/>
    <w:rsid w:val="008C24ED"/>
    <w:rsid w:val="008C264F"/>
    <w:rsid w:val="008C2811"/>
    <w:rsid w:val="008C2AC6"/>
    <w:rsid w:val="008C2BB2"/>
    <w:rsid w:val="008C2CC2"/>
    <w:rsid w:val="008C2F01"/>
    <w:rsid w:val="008C2FA4"/>
    <w:rsid w:val="008C33FE"/>
    <w:rsid w:val="008C3408"/>
    <w:rsid w:val="008C3453"/>
    <w:rsid w:val="008C365C"/>
    <w:rsid w:val="008C3888"/>
    <w:rsid w:val="008C3967"/>
    <w:rsid w:val="008C3B0B"/>
    <w:rsid w:val="008C3C34"/>
    <w:rsid w:val="008C48E7"/>
    <w:rsid w:val="008C4958"/>
    <w:rsid w:val="008C4BAA"/>
    <w:rsid w:val="008C4F7F"/>
    <w:rsid w:val="008C4FA9"/>
    <w:rsid w:val="008C502D"/>
    <w:rsid w:val="008C510C"/>
    <w:rsid w:val="008C5A77"/>
    <w:rsid w:val="008C5C8C"/>
    <w:rsid w:val="008C5CE9"/>
    <w:rsid w:val="008C6AE8"/>
    <w:rsid w:val="008C6FCE"/>
    <w:rsid w:val="008C72B8"/>
    <w:rsid w:val="008C73C5"/>
    <w:rsid w:val="008C7416"/>
    <w:rsid w:val="008C741B"/>
    <w:rsid w:val="008C7573"/>
    <w:rsid w:val="008C79E4"/>
    <w:rsid w:val="008C7F8C"/>
    <w:rsid w:val="008C7FE2"/>
    <w:rsid w:val="008D00A5"/>
    <w:rsid w:val="008D0575"/>
    <w:rsid w:val="008D07CE"/>
    <w:rsid w:val="008D0A41"/>
    <w:rsid w:val="008D0C98"/>
    <w:rsid w:val="008D0CAE"/>
    <w:rsid w:val="008D0D4C"/>
    <w:rsid w:val="008D10A4"/>
    <w:rsid w:val="008D10FC"/>
    <w:rsid w:val="008D120B"/>
    <w:rsid w:val="008D165A"/>
    <w:rsid w:val="008D182D"/>
    <w:rsid w:val="008D1F7C"/>
    <w:rsid w:val="008D2173"/>
    <w:rsid w:val="008D21B0"/>
    <w:rsid w:val="008D25A1"/>
    <w:rsid w:val="008D263D"/>
    <w:rsid w:val="008D2812"/>
    <w:rsid w:val="008D29E8"/>
    <w:rsid w:val="008D2C1A"/>
    <w:rsid w:val="008D33AF"/>
    <w:rsid w:val="008D34F1"/>
    <w:rsid w:val="008D36CB"/>
    <w:rsid w:val="008D381D"/>
    <w:rsid w:val="008D39D8"/>
    <w:rsid w:val="008D3A9D"/>
    <w:rsid w:val="008D3E67"/>
    <w:rsid w:val="008D4179"/>
    <w:rsid w:val="008D4862"/>
    <w:rsid w:val="008D4AA3"/>
    <w:rsid w:val="008D545C"/>
    <w:rsid w:val="008D5481"/>
    <w:rsid w:val="008D55D8"/>
    <w:rsid w:val="008D5816"/>
    <w:rsid w:val="008D5913"/>
    <w:rsid w:val="008D5CD5"/>
    <w:rsid w:val="008D5E41"/>
    <w:rsid w:val="008D604E"/>
    <w:rsid w:val="008D61A3"/>
    <w:rsid w:val="008D64CC"/>
    <w:rsid w:val="008D65B0"/>
    <w:rsid w:val="008D66C7"/>
    <w:rsid w:val="008D6863"/>
    <w:rsid w:val="008D6A56"/>
    <w:rsid w:val="008D6B70"/>
    <w:rsid w:val="008D6C22"/>
    <w:rsid w:val="008D6D1A"/>
    <w:rsid w:val="008D7029"/>
    <w:rsid w:val="008D7155"/>
    <w:rsid w:val="008D75B7"/>
    <w:rsid w:val="008D7A46"/>
    <w:rsid w:val="008D7B08"/>
    <w:rsid w:val="008D7BFD"/>
    <w:rsid w:val="008D7CEA"/>
    <w:rsid w:val="008D7DD4"/>
    <w:rsid w:val="008D7EB2"/>
    <w:rsid w:val="008E0124"/>
    <w:rsid w:val="008E01A5"/>
    <w:rsid w:val="008E0234"/>
    <w:rsid w:val="008E02B7"/>
    <w:rsid w:val="008E049D"/>
    <w:rsid w:val="008E04D4"/>
    <w:rsid w:val="008E065E"/>
    <w:rsid w:val="008E0927"/>
    <w:rsid w:val="008E0CC0"/>
    <w:rsid w:val="008E0CC8"/>
    <w:rsid w:val="008E0E5F"/>
    <w:rsid w:val="008E1055"/>
    <w:rsid w:val="008E1069"/>
    <w:rsid w:val="008E132F"/>
    <w:rsid w:val="008E1382"/>
    <w:rsid w:val="008E17A0"/>
    <w:rsid w:val="008E18C9"/>
    <w:rsid w:val="008E18DB"/>
    <w:rsid w:val="008E1909"/>
    <w:rsid w:val="008E191B"/>
    <w:rsid w:val="008E1A43"/>
    <w:rsid w:val="008E1AFB"/>
    <w:rsid w:val="008E1C84"/>
    <w:rsid w:val="008E1E01"/>
    <w:rsid w:val="008E340B"/>
    <w:rsid w:val="008E34DB"/>
    <w:rsid w:val="008E35D4"/>
    <w:rsid w:val="008E37B0"/>
    <w:rsid w:val="008E42BC"/>
    <w:rsid w:val="008E42DA"/>
    <w:rsid w:val="008E4322"/>
    <w:rsid w:val="008E4396"/>
    <w:rsid w:val="008E44D0"/>
    <w:rsid w:val="008E45CF"/>
    <w:rsid w:val="008E4822"/>
    <w:rsid w:val="008E48CE"/>
    <w:rsid w:val="008E4AAB"/>
    <w:rsid w:val="008E4B3F"/>
    <w:rsid w:val="008E4D59"/>
    <w:rsid w:val="008E5193"/>
    <w:rsid w:val="008E535D"/>
    <w:rsid w:val="008E5377"/>
    <w:rsid w:val="008E543A"/>
    <w:rsid w:val="008E57EE"/>
    <w:rsid w:val="008E5D3A"/>
    <w:rsid w:val="008E5DF1"/>
    <w:rsid w:val="008E5F5A"/>
    <w:rsid w:val="008E5FA8"/>
    <w:rsid w:val="008E6269"/>
    <w:rsid w:val="008E63EB"/>
    <w:rsid w:val="008E6D2E"/>
    <w:rsid w:val="008E6FA6"/>
    <w:rsid w:val="008E7434"/>
    <w:rsid w:val="008E77A5"/>
    <w:rsid w:val="008E7F4C"/>
    <w:rsid w:val="008F0243"/>
    <w:rsid w:val="008F0D8E"/>
    <w:rsid w:val="008F0F5E"/>
    <w:rsid w:val="008F14C4"/>
    <w:rsid w:val="008F175A"/>
    <w:rsid w:val="008F1C4E"/>
    <w:rsid w:val="008F1C6E"/>
    <w:rsid w:val="008F1EAB"/>
    <w:rsid w:val="008F1EAC"/>
    <w:rsid w:val="008F2767"/>
    <w:rsid w:val="008F33DC"/>
    <w:rsid w:val="008F3436"/>
    <w:rsid w:val="008F34E8"/>
    <w:rsid w:val="008F381A"/>
    <w:rsid w:val="008F3868"/>
    <w:rsid w:val="008F3997"/>
    <w:rsid w:val="008F39F5"/>
    <w:rsid w:val="008F415A"/>
    <w:rsid w:val="008F44EA"/>
    <w:rsid w:val="008F477F"/>
    <w:rsid w:val="008F47BE"/>
    <w:rsid w:val="008F4BB2"/>
    <w:rsid w:val="008F4C86"/>
    <w:rsid w:val="008F4C91"/>
    <w:rsid w:val="008F4D73"/>
    <w:rsid w:val="008F5114"/>
    <w:rsid w:val="008F5225"/>
    <w:rsid w:val="008F522A"/>
    <w:rsid w:val="008F5354"/>
    <w:rsid w:val="008F5446"/>
    <w:rsid w:val="008F54EB"/>
    <w:rsid w:val="008F56E1"/>
    <w:rsid w:val="008F5B45"/>
    <w:rsid w:val="008F5CEC"/>
    <w:rsid w:val="008F608F"/>
    <w:rsid w:val="008F6302"/>
    <w:rsid w:val="008F6575"/>
    <w:rsid w:val="008F680E"/>
    <w:rsid w:val="008F6934"/>
    <w:rsid w:val="008F6A26"/>
    <w:rsid w:val="008F6A35"/>
    <w:rsid w:val="008F6FA7"/>
    <w:rsid w:val="008F70E4"/>
    <w:rsid w:val="008F746D"/>
    <w:rsid w:val="008F797E"/>
    <w:rsid w:val="008F7CCF"/>
    <w:rsid w:val="008F7FA8"/>
    <w:rsid w:val="0090004B"/>
    <w:rsid w:val="009004C6"/>
    <w:rsid w:val="00900BBE"/>
    <w:rsid w:val="00901E2A"/>
    <w:rsid w:val="00902350"/>
    <w:rsid w:val="0090245C"/>
    <w:rsid w:val="00902DCA"/>
    <w:rsid w:val="0090336B"/>
    <w:rsid w:val="0090357F"/>
    <w:rsid w:val="009038B7"/>
    <w:rsid w:val="00903C7D"/>
    <w:rsid w:val="00903F30"/>
    <w:rsid w:val="009040E9"/>
    <w:rsid w:val="009044C4"/>
    <w:rsid w:val="009048A3"/>
    <w:rsid w:val="00904945"/>
    <w:rsid w:val="00904F9A"/>
    <w:rsid w:val="009053AA"/>
    <w:rsid w:val="00905780"/>
    <w:rsid w:val="00905A65"/>
    <w:rsid w:val="00905A6D"/>
    <w:rsid w:val="00905C77"/>
    <w:rsid w:val="00905D07"/>
    <w:rsid w:val="00905E8A"/>
    <w:rsid w:val="00906312"/>
    <w:rsid w:val="009065CB"/>
    <w:rsid w:val="009067EF"/>
    <w:rsid w:val="00906939"/>
    <w:rsid w:val="00906FCA"/>
    <w:rsid w:val="00906FE0"/>
    <w:rsid w:val="009071E0"/>
    <w:rsid w:val="009075CE"/>
    <w:rsid w:val="00907D4F"/>
    <w:rsid w:val="00907ED1"/>
    <w:rsid w:val="00907F18"/>
    <w:rsid w:val="009100F1"/>
    <w:rsid w:val="0091039F"/>
    <w:rsid w:val="00910B7D"/>
    <w:rsid w:val="00910BCB"/>
    <w:rsid w:val="009111F2"/>
    <w:rsid w:val="0091142A"/>
    <w:rsid w:val="009114B3"/>
    <w:rsid w:val="00911745"/>
    <w:rsid w:val="00911C31"/>
    <w:rsid w:val="00911D3B"/>
    <w:rsid w:val="00911DFB"/>
    <w:rsid w:val="00911F7F"/>
    <w:rsid w:val="00911FC3"/>
    <w:rsid w:val="009123A1"/>
    <w:rsid w:val="00912A50"/>
    <w:rsid w:val="00912B50"/>
    <w:rsid w:val="00912BA0"/>
    <w:rsid w:val="00912D0C"/>
    <w:rsid w:val="00913043"/>
    <w:rsid w:val="009132F6"/>
    <w:rsid w:val="00913316"/>
    <w:rsid w:val="00913346"/>
    <w:rsid w:val="009135E8"/>
    <w:rsid w:val="009135EA"/>
    <w:rsid w:val="0091397F"/>
    <w:rsid w:val="009139D9"/>
    <w:rsid w:val="00913A99"/>
    <w:rsid w:val="00913CBA"/>
    <w:rsid w:val="00913E76"/>
    <w:rsid w:val="00913FB2"/>
    <w:rsid w:val="00914667"/>
    <w:rsid w:val="00914A51"/>
    <w:rsid w:val="00914AD8"/>
    <w:rsid w:val="00914B7D"/>
    <w:rsid w:val="0091552A"/>
    <w:rsid w:val="00915937"/>
    <w:rsid w:val="00915C5C"/>
    <w:rsid w:val="00916079"/>
    <w:rsid w:val="009161E6"/>
    <w:rsid w:val="009163E8"/>
    <w:rsid w:val="009168C3"/>
    <w:rsid w:val="00916C67"/>
    <w:rsid w:val="00917CE9"/>
    <w:rsid w:val="00917DC9"/>
    <w:rsid w:val="0092059C"/>
    <w:rsid w:val="0092075B"/>
    <w:rsid w:val="009208FE"/>
    <w:rsid w:val="00920B7F"/>
    <w:rsid w:val="00920BD3"/>
    <w:rsid w:val="00920BF2"/>
    <w:rsid w:val="00920E4C"/>
    <w:rsid w:val="0092116A"/>
    <w:rsid w:val="009212C9"/>
    <w:rsid w:val="009212EC"/>
    <w:rsid w:val="0092130B"/>
    <w:rsid w:val="0092158C"/>
    <w:rsid w:val="00921738"/>
    <w:rsid w:val="00921748"/>
    <w:rsid w:val="00921A39"/>
    <w:rsid w:val="00921CE7"/>
    <w:rsid w:val="00922010"/>
    <w:rsid w:val="0092226A"/>
    <w:rsid w:val="009227D8"/>
    <w:rsid w:val="00922EB0"/>
    <w:rsid w:val="009231AF"/>
    <w:rsid w:val="00923260"/>
    <w:rsid w:val="00923565"/>
    <w:rsid w:val="00923615"/>
    <w:rsid w:val="00923B7B"/>
    <w:rsid w:val="00923DA8"/>
    <w:rsid w:val="00923DC1"/>
    <w:rsid w:val="00923F9C"/>
    <w:rsid w:val="00923FB5"/>
    <w:rsid w:val="009241A5"/>
    <w:rsid w:val="00924380"/>
    <w:rsid w:val="009244E8"/>
    <w:rsid w:val="00924584"/>
    <w:rsid w:val="00924C9A"/>
    <w:rsid w:val="00924D9C"/>
    <w:rsid w:val="009254FE"/>
    <w:rsid w:val="0092599E"/>
    <w:rsid w:val="00925A31"/>
    <w:rsid w:val="00925F27"/>
    <w:rsid w:val="00926050"/>
    <w:rsid w:val="0092689E"/>
    <w:rsid w:val="00926D74"/>
    <w:rsid w:val="00926F96"/>
    <w:rsid w:val="00927389"/>
    <w:rsid w:val="0092756B"/>
    <w:rsid w:val="00927639"/>
    <w:rsid w:val="009278FF"/>
    <w:rsid w:val="00927D61"/>
    <w:rsid w:val="00930111"/>
    <w:rsid w:val="0093040C"/>
    <w:rsid w:val="009305C4"/>
    <w:rsid w:val="0093060C"/>
    <w:rsid w:val="00930B0D"/>
    <w:rsid w:val="00930F9C"/>
    <w:rsid w:val="00931088"/>
    <w:rsid w:val="009317D8"/>
    <w:rsid w:val="00931899"/>
    <w:rsid w:val="009318A7"/>
    <w:rsid w:val="00931BD9"/>
    <w:rsid w:val="00931D65"/>
    <w:rsid w:val="00931FA1"/>
    <w:rsid w:val="009320EA"/>
    <w:rsid w:val="009321AD"/>
    <w:rsid w:val="0093248B"/>
    <w:rsid w:val="0093264B"/>
    <w:rsid w:val="009327EE"/>
    <w:rsid w:val="00932FBD"/>
    <w:rsid w:val="00933AC1"/>
    <w:rsid w:val="00933C2E"/>
    <w:rsid w:val="00933E2A"/>
    <w:rsid w:val="00933F21"/>
    <w:rsid w:val="0093404A"/>
    <w:rsid w:val="00934188"/>
    <w:rsid w:val="009344D9"/>
    <w:rsid w:val="00934951"/>
    <w:rsid w:val="009349C1"/>
    <w:rsid w:val="00934A0A"/>
    <w:rsid w:val="00934EA8"/>
    <w:rsid w:val="0093528B"/>
    <w:rsid w:val="00935403"/>
    <w:rsid w:val="00935BC8"/>
    <w:rsid w:val="00935D64"/>
    <w:rsid w:val="00935E93"/>
    <w:rsid w:val="009362AC"/>
    <w:rsid w:val="009362C9"/>
    <w:rsid w:val="00936699"/>
    <w:rsid w:val="0093679C"/>
    <w:rsid w:val="009368F3"/>
    <w:rsid w:val="00936C5B"/>
    <w:rsid w:val="00936C7E"/>
    <w:rsid w:val="00937137"/>
    <w:rsid w:val="009373AE"/>
    <w:rsid w:val="009374BC"/>
    <w:rsid w:val="0093759D"/>
    <w:rsid w:val="00937926"/>
    <w:rsid w:val="00937A5F"/>
    <w:rsid w:val="00937A64"/>
    <w:rsid w:val="00937C5D"/>
    <w:rsid w:val="00937F1A"/>
    <w:rsid w:val="00937FCE"/>
    <w:rsid w:val="009404E6"/>
    <w:rsid w:val="00940CD7"/>
    <w:rsid w:val="0094106C"/>
    <w:rsid w:val="00941636"/>
    <w:rsid w:val="0094174F"/>
    <w:rsid w:val="00941A57"/>
    <w:rsid w:val="00941B18"/>
    <w:rsid w:val="00941C7E"/>
    <w:rsid w:val="0094215B"/>
    <w:rsid w:val="009423E1"/>
    <w:rsid w:val="009424B7"/>
    <w:rsid w:val="009430B6"/>
    <w:rsid w:val="009430F4"/>
    <w:rsid w:val="00943565"/>
    <w:rsid w:val="00943742"/>
    <w:rsid w:val="00943852"/>
    <w:rsid w:val="00943C0B"/>
    <w:rsid w:val="00944DB4"/>
    <w:rsid w:val="009451DD"/>
    <w:rsid w:val="009457E4"/>
    <w:rsid w:val="009459BA"/>
    <w:rsid w:val="00945C05"/>
    <w:rsid w:val="009460F4"/>
    <w:rsid w:val="00946171"/>
    <w:rsid w:val="009462EA"/>
    <w:rsid w:val="00946319"/>
    <w:rsid w:val="009468F2"/>
    <w:rsid w:val="00946945"/>
    <w:rsid w:val="009469ED"/>
    <w:rsid w:val="00946AC9"/>
    <w:rsid w:val="00946E24"/>
    <w:rsid w:val="00946F59"/>
    <w:rsid w:val="009473AF"/>
    <w:rsid w:val="009473FA"/>
    <w:rsid w:val="00947542"/>
    <w:rsid w:val="009475AA"/>
    <w:rsid w:val="00947713"/>
    <w:rsid w:val="00947BF0"/>
    <w:rsid w:val="00947D36"/>
    <w:rsid w:val="00947DAF"/>
    <w:rsid w:val="00947F88"/>
    <w:rsid w:val="009509D7"/>
    <w:rsid w:val="00950DE7"/>
    <w:rsid w:val="00951088"/>
    <w:rsid w:val="009512B4"/>
    <w:rsid w:val="00951569"/>
    <w:rsid w:val="009515D0"/>
    <w:rsid w:val="00951A1F"/>
    <w:rsid w:val="00951B6E"/>
    <w:rsid w:val="009521DD"/>
    <w:rsid w:val="0095275D"/>
    <w:rsid w:val="009527E0"/>
    <w:rsid w:val="0095280B"/>
    <w:rsid w:val="00952A2D"/>
    <w:rsid w:val="00952BB8"/>
    <w:rsid w:val="00952C7C"/>
    <w:rsid w:val="00952F54"/>
    <w:rsid w:val="0095339D"/>
    <w:rsid w:val="009536D4"/>
    <w:rsid w:val="009538A9"/>
    <w:rsid w:val="009538AD"/>
    <w:rsid w:val="00953920"/>
    <w:rsid w:val="009539F9"/>
    <w:rsid w:val="00953D47"/>
    <w:rsid w:val="00954111"/>
    <w:rsid w:val="009542B9"/>
    <w:rsid w:val="009543C6"/>
    <w:rsid w:val="00954791"/>
    <w:rsid w:val="009549F1"/>
    <w:rsid w:val="00955B47"/>
    <w:rsid w:val="00955EAD"/>
    <w:rsid w:val="00955F7E"/>
    <w:rsid w:val="0095615D"/>
    <w:rsid w:val="0095630F"/>
    <w:rsid w:val="00956448"/>
    <w:rsid w:val="00956779"/>
    <w:rsid w:val="0095681E"/>
    <w:rsid w:val="00956C5A"/>
    <w:rsid w:val="00956F3F"/>
    <w:rsid w:val="0095714F"/>
    <w:rsid w:val="009572D4"/>
    <w:rsid w:val="009572F9"/>
    <w:rsid w:val="00957657"/>
    <w:rsid w:val="00957953"/>
    <w:rsid w:val="00957A1C"/>
    <w:rsid w:val="00957DA7"/>
    <w:rsid w:val="00957EAF"/>
    <w:rsid w:val="00960080"/>
    <w:rsid w:val="009600F1"/>
    <w:rsid w:val="00960611"/>
    <w:rsid w:val="00960659"/>
    <w:rsid w:val="00960BEB"/>
    <w:rsid w:val="0096159D"/>
    <w:rsid w:val="00961921"/>
    <w:rsid w:val="00961BB7"/>
    <w:rsid w:val="00961D7B"/>
    <w:rsid w:val="00962046"/>
    <w:rsid w:val="00962068"/>
    <w:rsid w:val="009620A3"/>
    <w:rsid w:val="0096210C"/>
    <w:rsid w:val="009622BF"/>
    <w:rsid w:val="00962485"/>
    <w:rsid w:val="00962810"/>
    <w:rsid w:val="00962989"/>
    <w:rsid w:val="00962A64"/>
    <w:rsid w:val="00962C2B"/>
    <w:rsid w:val="00962CD2"/>
    <w:rsid w:val="00962DD3"/>
    <w:rsid w:val="00962E94"/>
    <w:rsid w:val="009631FE"/>
    <w:rsid w:val="00963856"/>
    <w:rsid w:val="009639F8"/>
    <w:rsid w:val="00963C56"/>
    <w:rsid w:val="0096430A"/>
    <w:rsid w:val="009643C0"/>
    <w:rsid w:val="00964533"/>
    <w:rsid w:val="00964709"/>
    <w:rsid w:val="00964CA8"/>
    <w:rsid w:val="00964E42"/>
    <w:rsid w:val="00964E7A"/>
    <w:rsid w:val="00965211"/>
    <w:rsid w:val="00965404"/>
    <w:rsid w:val="0096554B"/>
    <w:rsid w:val="00965656"/>
    <w:rsid w:val="0096584A"/>
    <w:rsid w:val="00965852"/>
    <w:rsid w:val="009658FF"/>
    <w:rsid w:val="00965BA7"/>
    <w:rsid w:val="00965CE6"/>
    <w:rsid w:val="00965F88"/>
    <w:rsid w:val="00966829"/>
    <w:rsid w:val="00966BF2"/>
    <w:rsid w:val="00966D97"/>
    <w:rsid w:val="0096702A"/>
    <w:rsid w:val="00967156"/>
    <w:rsid w:val="00967243"/>
    <w:rsid w:val="00967330"/>
    <w:rsid w:val="009675CF"/>
    <w:rsid w:val="0096777B"/>
    <w:rsid w:val="00967F84"/>
    <w:rsid w:val="0097058B"/>
    <w:rsid w:val="00970E76"/>
    <w:rsid w:val="00970EDA"/>
    <w:rsid w:val="009712B9"/>
    <w:rsid w:val="009713D9"/>
    <w:rsid w:val="0097184C"/>
    <w:rsid w:val="00971B99"/>
    <w:rsid w:val="00971D2D"/>
    <w:rsid w:val="00971F08"/>
    <w:rsid w:val="00971FE3"/>
    <w:rsid w:val="00972175"/>
    <w:rsid w:val="009721E3"/>
    <w:rsid w:val="009721F3"/>
    <w:rsid w:val="009726E2"/>
    <w:rsid w:val="00972767"/>
    <w:rsid w:val="0097279B"/>
    <w:rsid w:val="00972D77"/>
    <w:rsid w:val="0097305A"/>
    <w:rsid w:val="0097310E"/>
    <w:rsid w:val="00973A4C"/>
    <w:rsid w:val="00973B35"/>
    <w:rsid w:val="00973B51"/>
    <w:rsid w:val="00973CD3"/>
    <w:rsid w:val="0097412A"/>
    <w:rsid w:val="009747C7"/>
    <w:rsid w:val="00974D8B"/>
    <w:rsid w:val="00975001"/>
    <w:rsid w:val="00975128"/>
    <w:rsid w:val="009752EB"/>
    <w:rsid w:val="00975712"/>
    <w:rsid w:val="00975A09"/>
    <w:rsid w:val="00975B4A"/>
    <w:rsid w:val="00975B9E"/>
    <w:rsid w:val="00975DE3"/>
    <w:rsid w:val="0097603D"/>
    <w:rsid w:val="0097639F"/>
    <w:rsid w:val="009763F9"/>
    <w:rsid w:val="00976419"/>
    <w:rsid w:val="00976641"/>
    <w:rsid w:val="00976949"/>
    <w:rsid w:val="009772D1"/>
    <w:rsid w:val="00977A51"/>
    <w:rsid w:val="00977AA1"/>
    <w:rsid w:val="00977B8F"/>
    <w:rsid w:val="00977C52"/>
    <w:rsid w:val="00977D22"/>
    <w:rsid w:val="00977DDE"/>
    <w:rsid w:val="00977E39"/>
    <w:rsid w:val="00977FB8"/>
    <w:rsid w:val="009800E4"/>
    <w:rsid w:val="00980383"/>
    <w:rsid w:val="00980477"/>
    <w:rsid w:val="009807FB"/>
    <w:rsid w:val="00980F60"/>
    <w:rsid w:val="0098111E"/>
    <w:rsid w:val="009811E3"/>
    <w:rsid w:val="009819FE"/>
    <w:rsid w:val="00981A19"/>
    <w:rsid w:val="00981E22"/>
    <w:rsid w:val="00981FD1"/>
    <w:rsid w:val="00982199"/>
    <w:rsid w:val="009827AF"/>
    <w:rsid w:val="00982D0D"/>
    <w:rsid w:val="00983186"/>
    <w:rsid w:val="00983AF9"/>
    <w:rsid w:val="0098426C"/>
    <w:rsid w:val="00984343"/>
    <w:rsid w:val="00984477"/>
    <w:rsid w:val="0098487C"/>
    <w:rsid w:val="00984D85"/>
    <w:rsid w:val="00984EAF"/>
    <w:rsid w:val="0098513A"/>
    <w:rsid w:val="00985253"/>
    <w:rsid w:val="009853B3"/>
    <w:rsid w:val="00985542"/>
    <w:rsid w:val="00985C3F"/>
    <w:rsid w:val="00985F04"/>
    <w:rsid w:val="00985F1D"/>
    <w:rsid w:val="009860B9"/>
    <w:rsid w:val="00986375"/>
    <w:rsid w:val="009863F3"/>
    <w:rsid w:val="00986811"/>
    <w:rsid w:val="00986884"/>
    <w:rsid w:val="009869EF"/>
    <w:rsid w:val="00986BA3"/>
    <w:rsid w:val="009872E5"/>
    <w:rsid w:val="009876D5"/>
    <w:rsid w:val="009876DF"/>
    <w:rsid w:val="00987BA9"/>
    <w:rsid w:val="00990394"/>
    <w:rsid w:val="00990630"/>
    <w:rsid w:val="00990CF9"/>
    <w:rsid w:val="00990DCB"/>
    <w:rsid w:val="00990DDB"/>
    <w:rsid w:val="00990E33"/>
    <w:rsid w:val="00991761"/>
    <w:rsid w:val="00991A00"/>
    <w:rsid w:val="00991DCD"/>
    <w:rsid w:val="00991E1E"/>
    <w:rsid w:val="00991EDC"/>
    <w:rsid w:val="0099202C"/>
    <w:rsid w:val="0099228F"/>
    <w:rsid w:val="009926D3"/>
    <w:rsid w:val="009928DD"/>
    <w:rsid w:val="00992E13"/>
    <w:rsid w:val="00993001"/>
    <w:rsid w:val="0099350D"/>
    <w:rsid w:val="0099369C"/>
    <w:rsid w:val="00993859"/>
    <w:rsid w:val="00993A77"/>
    <w:rsid w:val="00993BD8"/>
    <w:rsid w:val="00993BEF"/>
    <w:rsid w:val="00993D3E"/>
    <w:rsid w:val="00993DAE"/>
    <w:rsid w:val="009946AD"/>
    <w:rsid w:val="00994969"/>
    <w:rsid w:val="00994DCA"/>
    <w:rsid w:val="00994E1E"/>
    <w:rsid w:val="00995257"/>
    <w:rsid w:val="009953E2"/>
    <w:rsid w:val="009960EC"/>
    <w:rsid w:val="00996374"/>
    <w:rsid w:val="00996660"/>
    <w:rsid w:val="0099696E"/>
    <w:rsid w:val="00996CC5"/>
    <w:rsid w:val="00996E80"/>
    <w:rsid w:val="009970DD"/>
    <w:rsid w:val="00997137"/>
    <w:rsid w:val="00997234"/>
    <w:rsid w:val="009973C0"/>
    <w:rsid w:val="0099740C"/>
    <w:rsid w:val="00997DA7"/>
    <w:rsid w:val="00997E82"/>
    <w:rsid w:val="009A05CB"/>
    <w:rsid w:val="009A05EB"/>
    <w:rsid w:val="009A075F"/>
    <w:rsid w:val="009A07F6"/>
    <w:rsid w:val="009A0E6D"/>
    <w:rsid w:val="009A0FBA"/>
    <w:rsid w:val="009A14B4"/>
    <w:rsid w:val="009A14D3"/>
    <w:rsid w:val="009A1601"/>
    <w:rsid w:val="009A16F7"/>
    <w:rsid w:val="009A1953"/>
    <w:rsid w:val="009A27EB"/>
    <w:rsid w:val="009A306B"/>
    <w:rsid w:val="009A3101"/>
    <w:rsid w:val="009A3136"/>
    <w:rsid w:val="009A31F3"/>
    <w:rsid w:val="009A33DD"/>
    <w:rsid w:val="009A367D"/>
    <w:rsid w:val="009A3917"/>
    <w:rsid w:val="009A3964"/>
    <w:rsid w:val="009A3AF6"/>
    <w:rsid w:val="009A3B8E"/>
    <w:rsid w:val="009A3BB6"/>
    <w:rsid w:val="009A3D4D"/>
    <w:rsid w:val="009A436D"/>
    <w:rsid w:val="009A461F"/>
    <w:rsid w:val="009A462D"/>
    <w:rsid w:val="009A4861"/>
    <w:rsid w:val="009A4F49"/>
    <w:rsid w:val="009A50FC"/>
    <w:rsid w:val="009A529F"/>
    <w:rsid w:val="009A5463"/>
    <w:rsid w:val="009A5550"/>
    <w:rsid w:val="009A5A24"/>
    <w:rsid w:val="009A5AF9"/>
    <w:rsid w:val="009A5CBA"/>
    <w:rsid w:val="009A631B"/>
    <w:rsid w:val="009A65EF"/>
    <w:rsid w:val="009A6630"/>
    <w:rsid w:val="009A667E"/>
    <w:rsid w:val="009A695A"/>
    <w:rsid w:val="009A6AB7"/>
    <w:rsid w:val="009A6BEA"/>
    <w:rsid w:val="009A6F89"/>
    <w:rsid w:val="009A726F"/>
    <w:rsid w:val="009A7731"/>
    <w:rsid w:val="009A7994"/>
    <w:rsid w:val="009A7FB9"/>
    <w:rsid w:val="009A7FBB"/>
    <w:rsid w:val="009B01CC"/>
    <w:rsid w:val="009B01FA"/>
    <w:rsid w:val="009B024B"/>
    <w:rsid w:val="009B03AF"/>
    <w:rsid w:val="009B080B"/>
    <w:rsid w:val="009B0A2C"/>
    <w:rsid w:val="009B1219"/>
    <w:rsid w:val="009B14D5"/>
    <w:rsid w:val="009B17FB"/>
    <w:rsid w:val="009B1880"/>
    <w:rsid w:val="009B18B3"/>
    <w:rsid w:val="009B19B8"/>
    <w:rsid w:val="009B1BFE"/>
    <w:rsid w:val="009B1C03"/>
    <w:rsid w:val="009B1C44"/>
    <w:rsid w:val="009B1F30"/>
    <w:rsid w:val="009B1F62"/>
    <w:rsid w:val="009B2236"/>
    <w:rsid w:val="009B2288"/>
    <w:rsid w:val="009B22C0"/>
    <w:rsid w:val="009B26D2"/>
    <w:rsid w:val="009B2700"/>
    <w:rsid w:val="009B28F7"/>
    <w:rsid w:val="009B28FC"/>
    <w:rsid w:val="009B2C38"/>
    <w:rsid w:val="009B2F43"/>
    <w:rsid w:val="009B3109"/>
    <w:rsid w:val="009B32FB"/>
    <w:rsid w:val="009B34D5"/>
    <w:rsid w:val="009B36A2"/>
    <w:rsid w:val="009B39AA"/>
    <w:rsid w:val="009B39C1"/>
    <w:rsid w:val="009B3AC2"/>
    <w:rsid w:val="009B3DB2"/>
    <w:rsid w:val="009B4220"/>
    <w:rsid w:val="009B44AF"/>
    <w:rsid w:val="009B463A"/>
    <w:rsid w:val="009B492C"/>
    <w:rsid w:val="009B4D09"/>
    <w:rsid w:val="009B4DB2"/>
    <w:rsid w:val="009B4DF4"/>
    <w:rsid w:val="009B4F00"/>
    <w:rsid w:val="009B4F25"/>
    <w:rsid w:val="009B4F9D"/>
    <w:rsid w:val="009B50CF"/>
    <w:rsid w:val="009B5150"/>
    <w:rsid w:val="009B5499"/>
    <w:rsid w:val="009B54EB"/>
    <w:rsid w:val="009B564E"/>
    <w:rsid w:val="009B57F2"/>
    <w:rsid w:val="009B5965"/>
    <w:rsid w:val="009B5F6D"/>
    <w:rsid w:val="009B633B"/>
    <w:rsid w:val="009B66E8"/>
    <w:rsid w:val="009B67DA"/>
    <w:rsid w:val="009B6AF1"/>
    <w:rsid w:val="009B6DC4"/>
    <w:rsid w:val="009B7601"/>
    <w:rsid w:val="009B79C3"/>
    <w:rsid w:val="009B7A95"/>
    <w:rsid w:val="009B7B1D"/>
    <w:rsid w:val="009B7B69"/>
    <w:rsid w:val="009B7CEF"/>
    <w:rsid w:val="009B7DDA"/>
    <w:rsid w:val="009B7E87"/>
    <w:rsid w:val="009B7F18"/>
    <w:rsid w:val="009C005C"/>
    <w:rsid w:val="009C0169"/>
    <w:rsid w:val="009C01BC"/>
    <w:rsid w:val="009C02B5"/>
    <w:rsid w:val="009C0B13"/>
    <w:rsid w:val="009C0CDF"/>
    <w:rsid w:val="009C0D2C"/>
    <w:rsid w:val="009C0E0F"/>
    <w:rsid w:val="009C0E62"/>
    <w:rsid w:val="009C0F8F"/>
    <w:rsid w:val="009C10E2"/>
    <w:rsid w:val="009C168D"/>
    <w:rsid w:val="009C19F8"/>
    <w:rsid w:val="009C1C7B"/>
    <w:rsid w:val="009C1E08"/>
    <w:rsid w:val="009C2227"/>
    <w:rsid w:val="009C22EC"/>
    <w:rsid w:val="009C2443"/>
    <w:rsid w:val="009C253D"/>
    <w:rsid w:val="009C2E16"/>
    <w:rsid w:val="009C2FBC"/>
    <w:rsid w:val="009C3264"/>
    <w:rsid w:val="009C373D"/>
    <w:rsid w:val="009C3A4B"/>
    <w:rsid w:val="009C3EC3"/>
    <w:rsid w:val="009C400D"/>
    <w:rsid w:val="009C403E"/>
    <w:rsid w:val="009C40F7"/>
    <w:rsid w:val="009C4104"/>
    <w:rsid w:val="009C4157"/>
    <w:rsid w:val="009C4207"/>
    <w:rsid w:val="009C428A"/>
    <w:rsid w:val="009C433E"/>
    <w:rsid w:val="009C4935"/>
    <w:rsid w:val="009C4A18"/>
    <w:rsid w:val="009C4B14"/>
    <w:rsid w:val="009C4D1B"/>
    <w:rsid w:val="009C4E44"/>
    <w:rsid w:val="009C4FB6"/>
    <w:rsid w:val="009C50AE"/>
    <w:rsid w:val="009C5357"/>
    <w:rsid w:val="009C5396"/>
    <w:rsid w:val="009C5758"/>
    <w:rsid w:val="009C5AA0"/>
    <w:rsid w:val="009C5AFC"/>
    <w:rsid w:val="009C5BAD"/>
    <w:rsid w:val="009C5FA1"/>
    <w:rsid w:val="009C6292"/>
    <w:rsid w:val="009C6485"/>
    <w:rsid w:val="009C6554"/>
    <w:rsid w:val="009C661C"/>
    <w:rsid w:val="009C66B2"/>
    <w:rsid w:val="009C6866"/>
    <w:rsid w:val="009C6C59"/>
    <w:rsid w:val="009C71A3"/>
    <w:rsid w:val="009C7206"/>
    <w:rsid w:val="009C7254"/>
    <w:rsid w:val="009C75CC"/>
    <w:rsid w:val="009C7661"/>
    <w:rsid w:val="009C7B02"/>
    <w:rsid w:val="009C7DA2"/>
    <w:rsid w:val="009D056E"/>
    <w:rsid w:val="009D082C"/>
    <w:rsid w:val="009D09DB"/>
    <w:rsid w:val="009D0D9F"/>
    <w:rsid w:val="009D116D"/>
    <w:rsid w:val="009D11AF"/>
    <w:rsid w:val="009D120A"/>
    <w:rsid w:val="009D18E0"/>
    <w:rsid w:val="009D19B0"/>
    <w:rsid w:val="009D1AF0"/>
    <w:rsid w:val="009D1B5A"/>
    <w:rsid w:val="009D1BFE"/>
    <w:rsid w:val="009D1C3E"/>
    <w:rsid w:val="009D1C68"/>
    <w:rsid w:val="009D1CC7"/>
    <w:rsid w:val="009D1EC1"/>
    <w:rsid w:val="009D1F66"/>
    <w:rsid w:val="009D28AB"/>
    <w:rsid w:val="009D2AFF"/>
    <w:rsid w:val="009D3A7B"/>
    <w:rsid w:val="009D4055"/>
    <w:rsid w:val="009D421F"/>
    <w:rsid w:val="009D4816"/>
    <w:rsid w:val="009D4963"/>
    <w:rsid w:val="009D49EB"/>
    <w:rsid w:val="009D4C3F"/>
    <w:rsid w:val="009D4FF0"/>
    <w:rsid w:val="009D51F9"/>
    <w:rsid w:val="009D5615"/>
    <w:rsid w:val="009D5909"/>
    <w:rsid w:val="009D62C2"/>
    <w:rsid w:val="009D63B3"/>
    <w:rsid w:val="009D6687"/>
    <w:rsid w:val="009D6A24"/>
    <w:rsid w:val="009D6C93"/>
    <w:rsid w:val="009D6D71"/>
    <w:rsid w:val="009D6D91"/>
    <w:rsid w:val="009D6E5F"/>
    <w:rsid w:val="009D6E60"/>
    <w:rsid w:val="009D6EAA"/>
    <w:rsid w:val="009D6FF0"/>
    <w:rsid w:val="009D700A"/>
    <w:rsid w:val="009D703C"/>
    <w:rsid w:val="009D7049"/>
    <w:rsid w:val="009D7161"/>
    <w:rsid w:val="009D718F"/>
    <w:rsid w:val="009D7309"/>
    <w:rsid w:val="009D775F"/>
    <w:rsid w:val="009D7820"/>
    <w:rsid w:val="009D7D82"/>
    <w:rsid w:val="009E0088"/>
    <w:rsid w:val="009E00D8"/>
    <w:rsid w:val="009E068F"/>
    <w:rsid w:val="009E0964"/>
    <w:rsid w:val="009E0A94"/>
    <w:rsid w:val="009E0AD4"/>
    <w:rsid w:val="009E0D48"/>
    <w:rsid w:val="009E0FF0"/>
    <w:rsid w:val="009E0FF4"/>
    <w:rsid w:val="009E108C"/>
    <w:rsid w:val="009E122A"/>
    <w:rsid w:val="009E1387"/>
    <w:rsid w:val="009E1399"/>
    <w:rsid w:val="009E13C4"/>
    <w:rsid w:val="009E14E0"/>
    <w:rsid w:val="009E1873"/>
    <w:rsid w:val="009E195D"/>
    <w:rsid w:val="009E1993"/>
    <w:rsid w:val="009E19D2"/>
    <w:rsid w:val="009E1AED"/>
    <w:rsid w:val="009E1CDC"/>
    <w:rsid w:val="009E1E29"/>
    <w:rsid w:val="009E204E"/>
    <w:rsid w:val="009E21B0"/>
    <w:rsid w:val="009E256A"/>
    <w:rsid w:val="009E27F2"/>
    <w:rsid w:val="009E2817"/>
    <w:rsid w:val="009E2AE6"/>
    <w:rsid w:val="009E3293"/>
    <w:rsid w:val="009E330F"/>
    <w:rsid w:val="009E343B"/>
    <w:rsid w:val="009E35DB"/>
    <w:rsid w:val="009E3943"/>
    <w:rsid w:val="009E3E5E"/>
    <w:rsid w:val="009E404F"/>
    <w:rsid w:val="009E47A3"/>
    <w:rsid w:val="009E4B77"/>
    <w:rsid w:val="009E4D54"/>
    <w:rsid w:val="009E53D5"/>
    <w:rsid w:val="009E559F"/>
    <w:rsid w:val="009E57A4"/>
    <w:rsid w:val="009E590B"/>
    <w:rsid w:val="009E5B21"/>
    <w:rsid w:val="009E5CB3"/>
    <w:rsid w:val="009E625C"/>
    <w:rsid w:val="009E62EB"/>
    <w:rsid w:val="009E63F3"/>
    <w:rsid w:val="009E65CF"/>
    <w:rsid w:val="009E665F"/>
    <w:rsid w:val="009E67EF"/>
    <w:rsid w:val="009E6918"/>
    <w:rsid w:val="009E6D80"/>
    <w:rsid w:val="009E6EDC"/>
    <w:rsid w:val="009E769D"/>
    <w:rsid w:val="009E7800"/>
    <w:rsid w:val="009E78C9"/>
    <w:rsid w:val="009E79BF"/>
    <w:rsid w:val="009E7D13"/>
    <w:rsid w:val="009E7D38"/>
    <w:rsid w:val="009E7D3C"/>
    <w:rsid w:val="009E7F82"/>
    <w:rsid w:val="009E7FBE"/>
    <w:rsid w:val="009F003A"/>
    <w:rsid w:val="009F0238"/>
    <w:rsid w:val="009F06C8"/>
    <w:rsid w:val="009F08F3"/>
    <w:rsid w:val="009F0C46"/>
    <w:rsid w:val="009F0D26"/>
    <w:rsid w:val="009F0E62"/>
    <w:rsid w:val="009F1636"/>
    <w:rsid w:val="009F194F"/>
    <w:rsid w:val="009F1B92"/>
    <w:rsid w:val="009F1DD9"/>
    <w:rsid w:val="009F1EB6"/>
    <w:rsid w:val="009F2224"/>
    <w:rsid w:val="009F231F"/>
    <w:rsid w:val="009F28C3"/>
    <w:rsid w:val="009F2EE6"/>
    <w:rsid w:val="009F344F"/>
    <w:rsid w:val="009F34F1"/>
    <w:rsid w:val="009F3698"/>
    <w:rsid w:val="009F3B63"/>
    <w:rsid w:val="009F3DFB"/>
    <w:rsid w:val="009F3FDE"/>
    <w:rsid w:val="009F44F9"/>
    <w:rsid w:val="009F4902"/>
    <w:rsid w:val="009F4AB9"/>
    <w:rsid w:val="009F4BD9"/>
    <w:rsid w:val="009F50FC"/>
    <w:rsid w:val="009F523F"/>
    <w:rsid w:val="009F53C0"/>
    <w:rsid w:val="009F5451"/>
    <w:rsid w:val="009F545B"/>
    <w:rsid w:val="009F547A"/>
    <w:rsid w:val="009F54C4"/>
    <w:rsid w:val="009F550F"/>
    <w:rsid w:val="009F58E9"/>
    <w:rsid w:val="009F5B23"/>
    <w:rsid w:val="009F5D5B"/>
    <w:rsid w:val="009F5FA9"/>
    <w:rsid w:val="009F624B"/>
    <w:rsid w:val="009F6788"/>
    <w:rsid w:val="009F6B8B"/>
    <w:rsid w:val="009F6CE7"/>
    <w:rsid w:val="009F757E"/>
    <w:rsid w:val="009F75BD"/>
    <w:rsid w:val="009F7BE5"/>
    <w:rsid w:val="009F7D18"/>
    <w:rsid w:val="009F7E41"/>
    <w:rsid w:val="00A00310"/>
    <w:rsid w:val="00A0074F"/>
    <w:rsid w:val="00A0097C"/>
    <w:rsid w:val="00A00C6E"/>
    <w:rsid w:val="00A00D8A"/>
    <w:rsid w:val="00A00FA1"/>
    <w:rsid w:val="00A010B9"/>
    <w:rsid w:val="00A01108"/>
    <w:rsid w:val="00A016D6"/>
    <w:rsid w:val="00A019CC"/>
    <w:rsid w:val="00A01EA4"/>
    <w:rsid w:val="00A0227F"/>
    <w:rsid w:val="00A026B7"/>
    <w:rsid w:val="00A0275A"/>
    <w:rsid w:val="00A02763"/>
    <w:rsid w:val="00A02EE9"/>
    <w:rsid w:val="00A031A3"/>
    <w:rsid w:val="00A031D8"/>
    <w:rsid w:val="00A03820"/>
    <w:rsid w:val="00A03B1B"/>
    <w:rsid w:val="00A03B99"/>
    <w:rsid w:val="00A03BEB"/>
    <w:rsid w:val="00A04147"/>
    <w:rsid w:val="00A04242"/>
    <w:rsid w:val="00A0441B"/>
    <w:rsid w:val="00A047A1"/>
    <w:rsid w:val="00A047F9"/>
    <w:rsid w:val="00A048A8"/>
    <w:rsid w:val="00A04F49"/>
    <w:rsid w:val="00A05137"/>
    <w:rsid w:val="00A0532E"/>
    <w:rsid w:val="00A0569E"/>
    <w:rsid w:val="00A05CB1"/>
    <w:rsid w:val="00A05F2D"/>
    <w:rsid w:val="00A063B2"/>
    <w:rsid w:val="00A0654A"/>
    <w:rsid w:val="00A0654D"/>
    <w:rsid w:val="00A0683B"/>
    <w:rsid w:val="00A06CE8"/>
    <w:rsid w:val="00A07045"/>
    <w:rsid w:val="00A07275"/>
    <w:rsid w:val="00A072AD"/>
    <w:rsid w:val="00A07938"/>
    <w:rsid w:val="00A07CA4"/>
    <w:rsid w:val="00A07DA4"/>
    <w:rsid w:val="00A10379"/>
    <w:rsid w:val="00A106D8"/>
    <w:rsid w:val="00A1080C"/>
    <w:rsid w:val="00A10F94"/>
    <w:rsid w:val="00A110ED"/>
    <w:rsid w:val="00A11243"/>
    <w:rsid w:val="00A1188E"/>
    <w:rsid w:val="00A11BC0"/>
    <w:rsid w:val="00A12448"/>
    <w:rsid w:val="00A1275A"/>
    <w:rsid w:val="00A1289E"/>
    <w:rsid w:val="00A129AD"/>
    <w:rsid w:val="00A12ECF"/>
    <w:rsid w:val="00A13054"/>
    <w:rsid w:val="00A130D8"/>
    <w:rsid w:val="00A13348"/>
    <w:rsid w:val="00A13488"/>
    <w:rsid w:val="00A13DDD"/>
    <w:rsid w:val="00A13E54"/>
    <w:rsid w:val="00A14697"/>
    <w:rsid w:val="00A14946"/>
    <w:rsid w:val="00A149C3"/>
    <w:rsid w:val="00A14C15"/>
    <w:rsid w:val="00A14CA6"/>
    <w:rsid w:val="00A14D3C"/>
    <w:rsid w:val="00A14EB5"/>
    <w:rsid w:val="00A14F6B"/>
    <w:rsid w:val="00A1541C"/>
    <w:rsid w:val="00A155EF"/>
    <w:rsid w:val="00A1564F"/>
    <w:rsid w:val="00A15678"/>
    <w:rsid w:val="00A15DF4"/>
    <w:rsid w:val="00A16309"/>
    <w:rsid w:val="00A16495"/>
    <w:rsid w:val="00A16AA1"/>
    <w:rsid w:val="00A17331"/>
    <w:rsid w:val="00A17613"/>
    <w:rsid w:val="00A17A79"/>
    <w:rsid w:val="00A17C51"/>
    <w:rsid w:val="00A17F63"/>
    <w:rsid w:val="00A17FAC"/>
    <w:rsid w:val="00A20AEB"/>
    <w:rsid w:val="00A20BDD"/>
    <w:rsid w:val="00A20E71"/>
    <w:rsid w:val="00A210FE"/>
    <w:rsid w:val="00A21222"/>
    <w:rsid w:val="00A217D9"/>
    <w:rsid w:val="00A2193B"/>
    <w:rsid w:val="00A21C44"/>
    <w:rsid w:val="00A21F28"/>
    <w:rsid w:val="00A2217D"/>
    <w:rsid w:val="00A222CF"/>
    <w:rsid w:val="00A2237D"/>
    <w:rsid w:val="00A22901"/>
    <w:rsid w:val="00A22960"/>
    <w:rsid w:val="00A22B74"/>
    <w:rsid w:val="00A22D99"/>
    <w:rsid w:val="00A23361"/>
    <w:rsid w:val="00A2345F"/>
    <w:rsid w:val="00A2351A"/>
    <w:rsid w:val="00A23735"/>
    <w:rsid w:val="00A237EE"/>
    <w:rsid w:val="00A238A0"/>
    <w:rsid w:val="00A23B60"/>
    <w:rsid w:val="00A23BC6"/>
    <w:rsid w:val="00A23C34"/>
    <w:rsid w:val="00A23DB3"/>
    <w:rsid w:val="00A244E5"/>
    <w:rsid w:val="00A245DE"/>
    <w:rsid w:val="00A24892"/>
    <w:rsid w:val="00A24961"/>
    <w:rsid w:val="00A249C0"/>
    <w:rsid w:val="00A24B5A"/>
    <w:rsid w:val="00A24E80"/>
    <w:rsid w:val="00A25018"/>
    <w:rsid w:val="00A25841"/>
    <w:rsid w:val="00A25C5A"/>
    <w:rsid w:val="00A25DC3"/>
    <w:rsid w:val="00A26461"/>
    <w:rsid w:val="00A264A9"/>
    <w:rsid w:val="00A264CD"/>
    <w:rsid w:val="00A268AD"/>
    <w:rsid w:val="00A26DCF"/>
    <w:rsid w:val="00A272F8"/>
    <w:rsid w:val="00A27785"/>
    <w:rsid w:val="00A279C9"/>
    <w:rsid w:val="00A30146"/>
    <w:rsid w:val="00A30187"/>
    <w:rsid w:val="00A307DE"/>
    <w:rsid w:val="00A308F2"/>
    <w:rsid w:val="00A31087"/>
    <w:rsid w:val="00A31174"/>
    <w:rsid w:val="00A31944"/>
    <w:rsid w:val="00A31F9D"/>
    <w:rsid w:val="00A323D4"/>
    <w:rsid w:val="00A327E7"/>
    <w:rsid w:val="00A3302D"/>
    <w:rsid w:val="00A33048"/>
    <w:rsid w:val="00A331BC"/>
    <w:rsid w:val="00A33F51"/>
    <w:rsid w:val="00A34305"/>
    <w:rsid w:val="00A3448A"/>
    <w:rsid w:val="00A344CD"/>
    <w:rsid w:val="00A344CE"/>
    <w:rsid w:val="00A34932"/>
    <w:rsid w:val="00A349A1"/>
    <w:rsid w:val="00A34AA5"/>
    <w:rsid w:val="00A34B42"/>
    <w:rsid w:val="00A34C49"/>
    <w:rsid w:val="00A34D44"/>
    <w:rsid w:val="00A353AD"/>
    <w:rsid w:val="00A3580B"/>
    <w:rsid w:val="00A35E75"/>
    <w:rsid w:val="00A36297"/>
    <w:rsid w:val="00A362EA"/>
    <w:rsid w:val="00A36367"/>
    <w:rsid w:val="00A368ED"/>
    <w:rsid w:val="00A3696B"/>
    <w:rsid w:val="00A36B95"/>
    <w:rsid w:val="00A36E22"/>
    <w:rsid w:val="00A36F94"/>
    <w:rsid w:val="00A37188"/>
    <w:rsid w:val="00A3740A"/>
    <w:rsid w:val="00A37B97"/>
    <w:rsid w:val="00A37C58"/>
    <w:rsid w:val="00A37EA4"/>
    <w:rsid w:val="00A401D1"/>
    <w:rsid w:val="00A40391"/>
    <w:rsid w:val="00A4055F"/>
    <w:rsid w:val="00A407CF"/>
    <w:rsid w:val="00A4082D"/>
    <w:rsid w:val="00A41062"/>
    <w:rsid w:val="00A41280"/>
    <w:rsid w:val="00A4153C"/>
    <w:rsid w:val="00A41BBB"/>
    <w:rsid w:val="00A41E2B"/>
    <w:rsid w:val="00A421B8"/>
    <w:rsid w:val="00A42205"/>
    <w:rsid w:val="00A422FE"/>
    <w:rsid w:val="00A4262E"/>
    <w:rsid w:val="00A42847"/>
    <w:rsid w:val="00A42B51"/>
    <w:rsid w:val="00A42B59"/>
    <w:rsid w:val="00A42C98"/>
    <w:rsid w:val="00A42CEA"/>
    <w:rsid w:val="00A42DE6"/>
    <w:rsid w:val="00A43001"/>
    <w:rsid w:val="00A43187"/>
    <w:rsid w:val="00A4320B"/>
    <w:rsid w:val="00A4322C"/>
    <w:rsid w:val="00A433BA"/>
    <w:rsid w:val="00A43430"/>
    <w:rsid w:val="00A43C3F"/>
    <w:rsid w:val="00A43CB1"/>
    <w:rsid w:val="00A43D3C"/>
    <w:rsid w:val="00A4425D"/>
    <w:rsid w:val="00A4458D"/>
    <w:rsid w:val="00A446A3"/>
    <w:rsid w:val="00A44C7C"/>
    <w:rsid w:val="00A44EAA"/>
    <w:rsid w:val="00A44EBA"/>
    <w:rsid w:val="00A4532E"/>
    <w:rsid w:val="00A45439"/>
    <w:rsid w:val="00A455E9"/>
    <w:rsid w:val="00A45971"/>
    <w:rsid w:val="00A459E0"/>
    <w:rsid w:val="00A45B74"/>
    <w:rsid w:val="00A45C3A"/>
    <w:rsid w:val="00A4615C"/>
    <w:rsid w:val="00A4632D"/>
    <w:rsid w:val="00A4669D"/>
    <w:rsid w:val="00A466BD"/>
    <w:rsid w:val="00A46B7F"/>
    <w:rsid w:val="00A4734F"/>
    <w:rsid w:val="00A4757F"/>
    <w:rsid w:val="00A476AB"/>
    <w:rsid w:val="00A47B1E"/>
    <w:rsid w:val="00A47D01"/>
    <w:rsid w:val="00A47E76"/>
    <w:rsid w:val="00A5006E"/>
    <w:rsid w:val="00A5030C"/>
    <w:rsid w:val="00A50432"/>
    <w:rsid w:val="00A504B0"/>
    <w:rsid w:val="00A5053E"/>
    <w:rsid w:val="00A50905"/>
    <w:rsid w:val="00A50D49"/>
    <w:rsid w:val="00A50E44"/>
    <w:rsid w:val="00A51368"/>
    <w:rsid w:val="00A5136D"/>
    <w:rsid w:val="00A5150B"/>
    <w:rsid w:val="00A515CA"/>
    <w:rsid w:val="00A51B77"/>
    <w:rsid w:val="00A51D61"/>
    <w:rsid w:val="00A525BF"/>
    <w:rsid w:val="00A526EE"/>
    <w:rsid w:val="00A52E1D"/>
    <w:rsid w:val="00A534BF"/>
    <w:rsid w:val="00A537E4"/>
    <w:rsid w:val="00A5395B"/>
    <w:rsid w:val="00A53B80"/>
    <w:rsid w:val="00A53D3F"/>
    <w:rsid w:val="00A53D66"/>
    <w:rsid w:val="00A53EE6"/>
    <w:rsid w:val="00A53F13"/>
    <w:rsid w:val="00A54883"/>
    <w:rsid w:val="00A54F6C"/>
    <w:rsid w:val="00A55466"/>
    <w:rsid w:val="00A5551E"/>
    <w:rsid w:val="00A55873"/>
    <w:rsid w:val="00A558B5"/>
    <w:rsid w:val="00A56153"/>
    <w:rsid w:val="00A56299"/>
    <w:rsid w:val="00A562B9"/>
    <w:rsid w:val="00A5658C"/>
    <w:rsid w:val="00A5666D"/>
    <w:rsid w:val="00A566B0"/>
    <w:rsid w:val="00A566CC"/>
    <w:rsid w:val="00A56E4E"/>
    <w:rsid w:val="00A56E76"/>
    <w:rsid w:val="00A56EA2"/>
    <w:rsid w:val="00A57628"/>
    <w:rsid w:val="00A5762B"/>
    <w:rsid w:val="00A57A81"/>
    <w:rsid w:val="00A57BB4"/>
    <w:rsid w:val="00A57D84"/>
    <w:rsid w:val="00A57DF4"/>
    <w:rsid w:val="00A57F6F"/>
    <w:rsid w:val="00A600F5"/>
    <w:rsid w:val="00A606A4"/>
    <w:rsid w:val="00A606AF"/>
    <w:rsid w:val="00A60709"/>
    <w:rsid w:val="00A60819"/>
    <w:rsid w:val="00A60B95"/>
    <w:rsid w:val="00A60EDA"/>
    <w:rsid w:val="00A610A0"/>
    <w:rsid w:val="00A61499"/>
    <w:rsid w:val="00A614EC"/>
    <w:rsid w:val="00A61905"/>
    <w:rsid w:val="00A61A9F"/>
    <w:rsid w:val="00A62219"/>
    <w:rsid w:val="00A62293"/>
    <w:rsid w:val="00A62450"/>
    <w:rsid w:val="00A62568"/>
    <w:rsid w:val="00A625D9"/>
    <w:rsid w:val="00A627E3"/>
    <w:rsid w:val="00A628A1"/>
    <w:rsid w:val="00A62A6D"/>
    <w:rsid w:val="00A62A77"/>
    <w:rsid w:val="00A62C5E"/>
    <w:rsid w:val="00A631B6"/>
    <w:rsid w:val="00A63237"/>
    <w:rsid w:val="00A63309"/>
    <w:rsid w:val="00A6335F"/>
    <w:rsid w:val="00A63483"/>
    <w:rsid w:val="00A6350C"/>
    <w:rsid w:val="00A63E93"/>
    <w:rsid w:val="00A63E94"/>
    <w:rsid w:val="00A640B9"/>
    <w:rsid w:val="00A6454D"/>
    <w:rsid w:val="00A64909"/>
    <w:rsid w:val="00A6520D"/>
    <w:rsid w:val="00A65226"/>
    <w:rsid w:val="00A65326"/>
    <w:rsid w:val="00A657D7"/>
    <w:rsid w:val="00A65BCC"/>
    <w:rsid w:val="00A6606A"/>
    <w:rsid w:val="00A660AC"/>
    <w:rsid w:val="00A66634"/>
    <w:rsid w:val="00A66D7B"/>
    <w:rsid w:val="00A672C0"/>
    <w:rsid w:val="00A672CE"/>
    <w:rsid w:val="00A6771E"/>
    <w:rsid w:val="00A6792B"/>
    <w:rsid w:val="00A67E6C"/>
    <w:rsid w:val="00A7033C"/>
    <w:rsid w:val="00A70820"/>
    <w:rsid w:val="00A70903"/>
    <w:rsid w:val="00A70ADB"/>
    <w:rsid w:val="00A70F55"/>
    <w:rsid w:val="00A710CB"/>
    <w:rsid w:val="00A71285"/>
    <w:rsid w:val="00A7155B"/>
    <w:rsid w:val="00A718EB"/>
    <w:rsid w:val="00A71B99"/>
    <w:rsid w:val="00A71E87"/>
    <w:rsid w:val="00A71F5C"/>
    <w:rsid w:val="00A72048"/>
    <w:rsid w:val="00A7254E"/>
    <w:rsid w:val="00A726F0"/>
    <w:rsid w:val="00A72BC7"/>
    <w:rsid w:val="00A72E17"/>
    <w:rsid w:val="00A72E2C"/>
    <w:rsid w:val="00A73155"/>
    <w:rsid w:val="00A7373C"/>
    <w:rsid w:val="00A739D0"/>
    <w:rsid w:val="00A73A54"/>
    <w:rsid w:val="00A73B56"/>
    <w:rsid w:val="00A73E69"/>
    <w:rsid w:val="00A7420E"/>
    <w:rsid w:val="00A746E1"/>
    <w:rsid w:val="00A7485B"/>
    <w:rsid w:val="00A74B96"/>
    <w:rsid w:val="00A74D04"/>
    <w:rsid w:val="00A74D4B"/>
    <w:rsid w:val="00A74F99"/>
    <w:rsid w:val="00A750A3"/>
    <w:rsid w:val="00A751CA"/>
    <w:rsid w:val="00A753C8"/>
    <w:rsid w:val="00A7541F"/>
    <w:rsid w:val="00A754FC"/>
    <w:rsid w:val="00A7580E"/>
    <w:rsid w:val="00A7584F"/>
    <w:rsid w:val="00A75BDA"/>
    <w:rsid w:val="00A75D78"/>
    <w:rsid w:val="00A76199"/>
    <w:rsid w:val="00A761D4"/>
    <w:rsid w:val="00A7633E"/>
    <w:rsid w:val="00A765B4"/>
    <w:rsid w:val="00A76E1F"/>
    <w:rsid w:val="00A76E55"/>
    <w:rsid w:val="00A7700D"/>
    <w:rsid w:val="00A77640"/>
    <w:rsid w:val="00A77825"/>
    <w:rsid w:val="00A77880"/>
    <w:rsid w:val="00A7788A"/>
    <w:rsid w:val="00A77899"/>
    <w:rsid w:val="00A77A47"/>
    <w:rsid w:val="00A77EC4"/>
    <w:rsid w:val="00A77F83"/>
    <w:rsid w:val="00A8013C"/>
    <w:rsid w:val="00A80143"/>
    <w:rsid w:val="00A805A1"/>
    <w:rsid w:val="00A80906"/>
    <w:rsid w:val="00A80B66"/>
    <w:rsid w:val="00A80C95"/>
    <w:rsid w:val="00A81277"/>
    <w:rsid w:val="00A8142E"/>
    <w:rsid w:val="00A81617"/>
    <w:rsid w:val="00A81CDA"/>
    <w:rsid w:val="00A81EE7"/>
    <w:rsid w:val="00A81EED"/>
    <w:rsid w:val="00A81F4B"/>
    <w:rsid w:val="00A82583"/>
    <w:rsid w:val="00A82C76"/>
    <w:rsid w:val="00A82D5F"/>
    <w:rsid w:val="00A830CC"/>
    <w:rsid w:val="00A8382A"/>
    <w:rsid w:val="00A83BA3"/>
    <w:rsid w:val="00A840DF"/>
    <w:rsid w:val="00A84787"/>
    <w:rsid w:val="00A84994"/>
    <w:rsid w:val="00A84C20"/>
    <w:rsid w:val="00A85016"/>
    <w:rsid w:val="00A8519F"/>
    <w:rsid w:val="00A851B4"/>
    <w:rsid w:val="00A8537E"/>
    <w:rsid w:val="00A854EA"/>
    <w:rsid w:val="00A85C8F"/>
    <w:rsid w:val="00A85CAA"/>
    <w:rsid w:val="00A85D44"/>
    <w:rsid w:val="00A86012"/>
    <w:rsid w:val="00A8602E"/>
    <w:rsid w:val="00A86424"/>
    <w:rsid w:val="00A865D3"/>
    <w:rsid w:val="00A869ED"/>
    <w:rsid w:val="00A86A44"/>
    <w:rsid w:val="00A86CDA"/>
    <w:rsid w:val="00A86F9D"/>
    <w:rsid w:val="00A87347"/>
    <w:rsid w:val="00A875F4"/>
    <w:rsid w:val="00A87B7C"/>
    <w:rsid w:val="00A87C03"/>
    <w:rsid w:val="00A87F1C"/>
    <w:rsid w:val="00A90074"/>
    <w:rsid w:val="00A90117"/>
    <w:rsid w:val="00A9081C"/>
    <w:rsid w:val="00A909FD"/>
    <w:rsid w:val="00A90CFF"/>
    <w:rsid w:val="00A90D70"/>
    <w:rsid w:val="00A91312"/>
    <w:rsid w:val="00A9164A"/>
    <w:rsid w:val="00A916C2"/>
    <w:rsid w:val="00A91C34"/>
    <w:rsid w:val="00A91CB6"/>
    <w:rsid w:val="00A91CF1"/>
    <w:rsid w:val="00A91E30"/>
    <w:rsid w:val="00A91E57"/>
    <w:rsid w:val="00A91EA7"/>
    <w:rsid w:val="00A9235A"/>
    <w:rsid w:val="00A92816"/>
    <w:rsid w:val="00A92879"/>
    <w:rsid w:val="00A92913"/>
    <w:rsid w:val="00A92B9B"/>
    <w:rsid w:val="00A93481"/>
    <w:rsid w:val="00A9369B"/>
    <w:rsid w:val="00A9370F"/>
    <w:rsid w:val="00A9394F"/>
    <w:rsid w:val="00A93D1B"/>
    <w:rsid w:val="00A940E7"/>
    <w:rsid w:val="00A94121"/>
    <w:rsid w:val="00A941D2"/>
    <w:rsid w:val="00A941E7"/>
    <w:rsid w:val="00A9435C"/>
    <w:rsid w:val="00A9442A"/>
    <w:rsid w:val="00A94754"/>
    <w:rsid w:val="00A94B7D"/>
    <w:rsid w:val="00A9506E"/>
    <w:rsid w:val="00A95258"/>
    <w:rsid w:val="00A952AB"/>
    <w:rsid w:val="00A957FF"/>
    <w:rsid w:val="00A958EA"/>
    <w:rsid w:val="00A95972"/>
    <w:rsid w:val="00A959B9"/>
    <w:rsid w:val="00A95B94"/>
    <w:rsid w:val="00A95CAF"/>
    <w:rsid w:val="00A95F3B"/>
    <w:rsid w:val="00A96D30"/>
    <w:rsid w:val="00A96F65"/>
    <w:rsid w:val="00A96FEF"/>
    <w:rsid w:val="00A97095"/>
    <w:rsid w:val="00A97F3B"/>
    <w:rsid w:val="00A97F8B"/>
    <w:rsid w:val="00AA016F"/>
    <w:rsid w:val="00AA035B"/>
    <w:rsid w:val="00AA047D"/>
    <w:rsid w:val="00AA04CA"/>
    <w:rsid w:val="00AA0A9E"/>
    <w:rsid w:val="00AA13BC"/>
    <w:rsid w:val="00AA1C6E"/>
    <w:rsid w:val="00AA1D92"/>
    <w:rsid w:val="00AA1ED6"/>
    <w:rsid w:val="00AA1EED"/>
    <w:rsid w:val="00AA23B5"/>
    <w:rsid w:val="00AA2891"/>
    <w:rsid w:val="00AA2AD7"/>
    <w:rsid w:val="00AA2EB6"/>
    <w:rsid w:val="00AA3094"/>
    <w:rsid w:val="00AA31DB"/>
    <w:rsid w:val="00AA323D"/>
    <w:rsid w:val="00AA32DC"/>
    <w:rsid w:val="00AA3E64"/>
    <w:rsid w:val="00AA3F9A"/>
    <w:rsid w:val="00AA44D0"/>
    <w:rsid w:val="00AA477C"/>
    <w:rsid w:val="00AA4D34"/>
    <w:rsid w:val="00AA51D6"/>
    <w:rsid w:val="00AA5349"/>
    <w:rsid w:val="00AA535C"/>
    <w:rsid w:val="00AA5495"/>
    <w:rsid w:val="00AA54E5"/>
    <w:rsid w:val="00AA584A"/>
    <w:rsid w:val="00AA5868"/>
    <w:rsid w:val="00AA5A12"/>
    <w:rsid w:val="00AA5BAA"/>
    <w:rsid w:val="00AA5E6F"/>
    <w:rsid w:val="00AA60A6"/>
    <w:rsid w:val="00AA6335"/>
    <w:rsid w:val="00AA635A"/>
    <w:rsid w:val="00AA6C39"/>
    <w:rsid w:val="00AA6C9D"/>
    <w:rsid w:val="00AA7058"/>
    <w:rsid w:val="00AA712A"/>
    <w:rsid w:val="00AA78F3"/>
    <w:rsid w:val="00AA79A1"/>
    <w:rsid w:val="00AA7A34"/>
    <w:rsid w:val="00AB0483"/>
    <w:rsid w:val="00AB080B"/>
    <w:rsid w:val="00AB0829"/>
    <w:rsid w:val="00AB0952"/>
    <w:rsid w:val="00AB0BC8"/>
    <w:rsid w:val="00AB0DB9"/>
    <w:rsid w:val="00AB0EE4"/>
    <w:rsid w:val="00AB0F96"/>
    <w:rsid w:val="00AB11CA"/>
    <w:rsid w:val="00AB136C"/>
    <w:rsid w:val="00AB14D9"/>
    <w:rsid w:val="00AB18AD"/>
    <w:rsid w:val="00AB1B33"/>
    <w:rsid w:val="00AB1CCC"/>
    <w:rsid w:val="00AB1EFD"/>
    <w:rsid w:val="00AB23A4"/>
    <w:rsid w:val="00AB2572"/>
    <w:rsid w:val="00AB3F6E"/>
    <w:rsid w:val="00AB407C"/>
    <w:rsid w:val="00AB409D"/>
    <w:rsid w:val="00AB4229"/>
    <w:rsid w:val="00AB46FE"/>
    <w:rsid w:val="00AB4814"/>
    <w:rsid w:val="00AB4A27"/>
    <w:rsid w:val="00AB4AB8"/>
    <w:rsid w:val="00AB4B3C"/>
    <w:rsid w:val="00AB538E"/>
    <w:rsid w:val="00AB5437"/>
    <w:rsid w:val="00AB551F"/>
    <w:rsid w:val="00AB59B1"/>
    <w:rsid w:val="00AB5FD3"/>
    <w:rsid w:val="00AB655E"/>
    <w:rsid w:val="00AB6699"/>
    <w:rsid w:val="00AB6CDE"/>
    <w:rsid w:val="00AB6DCD"/>
    <w:rsid w:val="00AB76D0"/>
    <w:rsid w:val="00AB76E6"/>
    <w:rsid w:val="00AB77E2"/>
    <w:rsid w:val="00AB7DA6"/>
    <w:rsid w:val="00AB7DE9"/>
    <w:rsid w:val="00AB7E18"/>
    <w:rsid w:val="00AB7E49"/>
    <w:rsid w:val="00AB7EFD"/>
    <w:rsid w:val="00AC0078"/>
    <w:rsid w:val="00AC007F"/>
    <w:rsid w:val="00AC00F1"/>
    <w:rsid w:val="00AC052C"/>
    <w:rsid w:val="00AC12B5"/>
    <w:rsid w:val="00AC1610"/>
    <w:rsid w:val="00AC1895"/>
    <w:rsid w:val="00AC1A00"/>
    <w:rsid w:val="00AC1F48"/>
    <w:rsid w:val="00AC202B"/>
    <w:rsid w:val="00AC2614"/>
    <w:rsid w:val="00AC26E1"/>
    <w:rsid w:val="00AC2D70"/>
    <w:rsid w:val="00AC2ECD"/>
    <w:rsid w:val="00AC3119"/>
    <w:rsid w:val="00AC3218"/>
    <w:rsid w:val="00AC32D5"/>
    <w:rsid w:val="00AC39AC"/>
    <w:rsid w:val="00AC444D"/>
    <w:rsid w:val="00AC453F"/>
    <w:rsid w:val="00AC4657"/>
    <w:rsid w:val="00AC49FB"/>
    <w:rsid w:val="00AC567A"/>
    <w:rsid w:val="00AC5A10"/>
    <w:rsid w:val="00AC5B8B"/>
    <w:rsid w:val="00AC5BC4"/>
    <w:rsid w:val="00AC5CE1"/>
    <w:rsid w:val="00AC6341"/>
    <w:rsid w:val="00AC63FB"/>
    <w:rsid w:val="00AC6A7F"/>
    <w:rsid w:val="00AC6C74"/>
    <w:rsid w:val="00AC709A"/>
    <w:rsid w:val="00AC731C"/>
    <w:rsid w:val="00AC7607"/>
    <w:rsid w:val="00AC7768"/>
    <w:rsid w:val="00AC7944"/>
    <w:rsid w:val="00AC7A99"/>
    <w:rsid w:val="00AC7E20"/>
    <w:rsid w:val="00AC7EC8"/>
    <w:rsid w:val="00AC7F89"/>
    <w:rsid w:val="00AD005E"/>
    <w:rsid w:val="00AD0323"/>
    <w:rsid w:val="00AD077F"/>
    <w:rsid w:val="00AD0AA3"/>
    <w:rsid w:val="00AD0AAA"/>
    <w:rsid w:val="00AD11F0"/>
    <w:rsid w:val="00AD1709"/>
    <w:rsid w:val="00AD1B53"/>
    <w:rsid w:val="00AD1E0B"/>
    <w:rsid w:val="00AD1ECF"/>
    <w:rsid w:val="00AD20C5"/>
    <w:rsid w:val="00AD21CA"/>
    <w:rsid w:val="00AD22EE"/>
    <w:rsid w:val="00AD2332"/>
    <w:rsid w:val="00AD2ED0"/>
    <w:rsid w:val="00AD31BA"/>
    <w:rsid w:val="00AD3289"/>
    <w:rsid w:val="00AD383E"/>
    <w:rsid w:val="00AD3B95"/>
    <w:rsid w:val="00AD3DE7"/>
    <w:rsid w:val="00AD3DF9"/>
    <w:rsid w:val="00AD3F94"/>
    <w:rsid w:val="00AD4952"/>
    <w:rsid w:val="00AD4A5A"/>
    <w:rsid w:val="00AD4D74"/>
    <w:rsid w:val="00AD51B1"/>
    <w:rsid w:val="00AD52A3"/>
    <w:rsid w:val="00AD5327"/>
    <w:rsid w:val="00AD5357"/>
    <w:rsid w:val="00AD5365"/>
    <w:rsid w:val="00AD5719"/>
    <w:rsid w:val="00AD5771"/>
    <w:rsid w:val="00AD594C"/>
    <w:rsid w:val="00AD5BB4"/>
    <w:rsid w:val="00AD5C9F"/>
    <w:rsid w:val="00AD6322"/>
    <w:rsid w:val="00AD659D"/>
    <w:rsid w:val="00AD68EB"/>
    <w:rsid w:val="00AD69DB"/>
    <w:rsid w:val="00AD6A98"/>
    <w:rsid w:val="00AD6B78"/>
    <w:rsid w:val="00AD6EDD"/>
    <w:rsid w:val="00AD72E8"/>
    <w:rsid w:val="00AD73B8"/>
    <w:rsid w:val="00AD7563"/>
    <w:rsid w:val="00AD77CB"/>
    <w:rsid w:val="00AD7DD5"/>
    <w:rsid w:val="00AD7E54"/>
    <w:rsid w:val="00AE00EF"/>
    <w:rsid w:val="00AE034F"/>
    <w:rsid w:val="00AE04D1"/>
    <w:rsid w:val="00AE07F6"/>
    <w:rsid w:val="00AE08EB"/>
    <w:rsid w:val="00AE08F5"/>
    <w:rsid w:val="00AE0F27"/>
    <w:rsid w:val="00AE11C2"/>
    <w:rsid w:val="00AE1473"/>
    <w:rsid w:val="00AE16A3"/>
    <w:rsid w:val="00AE1901"/>
    <w:rsid w:val="00AE1CE0"/>
    <w:rsid w:val="00AE217B"/>
    <w:rsid w:val="00AE233F"/>
    <w:rsid w:val="00AE23E0"/>
    <w:rsid w:val="00AE2409"/>
    <w:rsid w:val="00AE25C9"/>
    <w:rsid w:val="00AE2750"/>
    <w:rsid w:val="00AE277F"/>
    <w:rsid w:val="00AE27AC"/>
    <w:rsid w:val="00AE2821"/>
    <w:rsid w:val="00AE288C"/>
    <w:rsid w:val="00AE28A2"/>
    <w:rsid w:val="00AE2C77"/>
    <w:rsid w:val="00AE2FB8"/>
    <w:rsid w:val="00AE305F"/>
    <w:rsid w:val="00AE3110"/>
    <w:rsid w:val="00AE32EC"/>
    <w:rsid w:val="00AE3412"/>
    <w:rsid w:val="00AE35B3"/>
    <w:rsid w:val="00AE3798"/>
    <w:rsid w:val="00AE3881"/>
    <w:rsid w:val="00AE3F83"/>
    <w:rsid w:val="00AE40E0"/>
    <w:rsid w:val="00AE4226"/>
    <w:rsid w:val="00AE45A4"/>
    <w:rsid w:val="00AE48CA"/>
    <w:rsid w:val="00AE4DBA"/>
    <w:rsid w:val="00AE4F07"/>
    <w:rsid w:val="00AE4F66"/>
    <w:rsid w:val="00AE517E"/>
    <w:rsid w:val="00AE5216"/>
    <w:rsid w:val="00AE61CE"/>
    <w:rsid w:val="00AE62C0"/>
    <w:rsid w:val="00AE6EE0"/>
    <w:rsid w:val="00AE7245"/>
    <w:rsid w:val="00AE72BE"/>
    <w:rsid w:val="00AE7750"/>
    <w:rsid w:val="00AE7BE3"/>
    <w:rsid w:val="00AE7CDE"/>
    <w:rsid w:val="00AF03C3"/>
    <w:rsid w:val="00AF089C"/>
    <w:rsid w:val="00AF0909"/>
    <w:rsid w:val="00AF0A03"/>
    <w:rsid w:val="00AF0A4B"/>
    <w:rsid w:val="00AF0EED"/>
    <w:rsid w:val="00AF0FF8"/>
    <w:rsid w:val="00AF1072"/>
    <w:rsid w:val="00AF132E"/>
    <w:rsid w:val="00AF13C3"/>
    <w:rsid w:val="00AF1594"/>
    <w:rsid w:val="00AF1A60"/>
    <w:rsid w:val="00AF1C5D"/>
    <w:rsid w:val="00AF1D41"/>
    <w:rsid w:val="00AF206C"/>
    <w:rsid w:val="00AF24C0"/>
    <w:rsid w:val="00AF2809"/>
    <w:rsid w:val="00AF29E4"/>
    <w:rsid w:val="00AF2E26"/>
    <w:rsid w:val="00AF3541"/>
    <w:rsid w:val="00AF356A"/>
    <w:rsid w:val="00AF37FE"/>
    <w:rsid w:val="00AF388F"/>
    <w:rsid w:val="00AF38B6"/>
    <w:rsid w:val="00AF3A94"/>
    <w:rsid w:val="00AF402B"/>
    <w:rsid w:val="00AF42D7"/>
    <w:rsid w:val="00AF49BE"/>
    <w:rsid w:val="00AF5059"/>
    <w:rsid w:val="00AF51E3"/>
    <w:rsid w:val="00AF541D"/>
    <w:rsid w:val="00AF57ED"/>
    <w:rsid w:val="00AF5B5E"/>
    <w:rsid w:val="00AF6291"/>
    <w:rsid w:val="00AF6689"/>
    <w:rsid w:val="00AF6A15"/>
    <w:rsid w:val="00AF6A33"/>
    <w:rsid w:val="00AF6B12"/>
    <w:rsid w:val="00AF6D54"/>
    <w:rsid w:val="00AF750B"/>
    <w:rsid w:val="00AF77D4"/>
    <w:rsid w:val="00AF7A45"/>
    <w:rsid w:val="00B00082"/>
    <w:rsid w:val="00B0040E"/>
    <w:rsid w:val="00B00612"/>
    <w:rsid w:val="00B006FE"/>
    <w:rsid w:val="00B007CB"/>
    <w:rsid w:val="00B00975"/>
    <w:rsid w:val="00B00AE4"/>
    <w:rsid w:val="00B00D23"/>
    <w:rsid w:val="00B00D61"/>
    <w:rsid w:val="00B00D84"/>
    <w:rsid w:val="00B00EEB"/>
    <w:rsid w:val="00B00F4F"/>
    <w:rsid w:val="00B00F6E"/>
    <w:rsid w:val="00B01178"/>
    <w:rsid w:val="00B01450"/>
    <w:rsid w:val="00B0198F"/>
    <w:rsid w:val="00B01A8B"/>
    <w:rsid w:val="00B01B98"/>
    <w:rsid w:val="00B01C0E"/>
    <w:rsid w:val="00B02AA9"/>
    <w:rsid w:val="00B02AED"/>
    <w:rsid w:val="00B02B03"/>
    <w:rsid w:val="00B02E9E"/>
    <w:rsid w:val="00B02FA3"/>
    <w:rsid w:val="00B03488"/>
    <w:rsid w:val="00B0349D"/>
    <w:rsid w:val="00B03899"/>
    <w:rsid w:val="00B03BE8"/>
    <w:rsid w:val="00B03EF1"/>
    <w:rsid w:val="00B03F97"/>
    <w:rsid w:val="00B04250"/>
    <w:rsid w:val="00B0442E"/>
    <w:rsid w:val="00B0450D"/>
    <w:rsid w:val="00B04563"/>
    <w:rsid w:val="00B046BA"/>
    <w:rsid w:val="00B049DC"/>
    <w:rsid w:val="00B04DC3"/>
    <w:rsid w:val="00B04EAE"/>
    <w:rsid w:val="00B05084"/>
    <w:rsid w:val="00B05255"/>
    <w:rsid w:val="00B06101"/>
    <w:rsid w:val="00B0612C"/>
    <w:rsid w:val="00B06191"/>
    <w:rsid w:val="00B06B2D"/>
    <w:rsid w:val="00B06EE1"/>
    <w:rsid w:val="00B071E0"/>
    <w:rsid w:val="00B07BB0"/>
    <w:rsid w:val="00B07BC6"/>
    <w:rsid w:val="00B07C9B"/>
    <w:rsid w:val="00B07D7F"/>
    <w:rsid w:val="00B07E05"/>
    <w:rsid w:val="00B10AD2"/>
    <w:rsid w:val="00B10C99"/>
    <w:rsid w:val="00B10D3E"/>
    <w:rsid w:val="00B10EC0"/>
    <w:rsid w:val="00B11289"/>
    <w:rsid w:val="00B11785"/>
    <w:rsid w:val="00B11958"/>
    <w:rsid w:val="00B11AF4"/>
    <w:rsid w:val="00B12557"/>
    <w:rsid w:val="00B12D34"/>
    <w:rsid w:val="00B13007"/>
    <w:rsid w:val="00B133AD"/>
    <w:rsid w:val="00B136A8"/>
    <w:rsid w:val="00B138AA"/>
    <w:rsid w:val="00B1397C"/>
    <w:rsid w:val="00B13DCB"/>
    <w:rsid w:val="00B144A9"/>
    <w:rsid w:val="00B1485A"/>
    <w:rsid w:val="00B14E6E"/>
    <w:rsid w:val="00B14FB9"/>
    <w:rsid w:val="00B15047"/>
    <w:rsid w:val="00B15149"/>
    <w:rsid w:val="00B1577B"/>
    <w:rsid w:val="00B157F9"/>
    <w:rsid w:val="00B15C93"/>
    <w:rsid w:val="00B16157"/>
    <w:rsid w:val="00B162E9"/>
    <w:rsid w:val="00B16603"/>
    <w:rsid w:val="00B1666F"/>
    <w:rsid w:val="00B1684B"/>
    <w:rsid w:val="00B169C8"/>
    <w:rsid w:val="00B16C31"/>
    <w:rsid w:val="00B17363"/>
    <w:rsid w:val="00B17756"/>
    <w:rsid w:val="00B17D5F"/>
    <w:rsid w:val="00B17D8C"/>
    <w:rsid w:val="00B17FC6"/>
    <w:rsid w:val="00B20256"/>
    <w:rsid w:val="00B20287"/>
    <w:rsid w:val="00B20727"/>
    <w:rsid w:val="00B20764"/>
    <w:rsid w:val="00B20ADE"/>
    <w:rsid w:val="00B20AF9"/>
    <w:rsid w:val="00B20BC9"/>
    <w:rsid w:val="00B20D09"/>
    <w:rsid w:val="00B20D1F"/>
    <w:rsid w:val="00B21226"/>
    <w:rsid w:val="00B21333"/>
    <w:rsid w:val="00B21877"/>
    <w:rsid w:val="00B21BD0"/>
    <w:rsid w:val="00B2226C"/>
    <w:rsid w:val="00B2281D"/>
    <w:rsid w:val="00B22D8C"/>
    <w:rsid w:val="00B22E03"/>
    <w:rsid w:val="00B23052"/>
    <w:rsid w:val="00B231A5"/>
    <w:rsid w:val="00B233A9"/>
    <w:rsid w:val="00B23554"/>
    <w:rsid w:val="00B2368E"/>
    <w:rsid w:val="00B2370F"/>
    <w:rsid w:val="00B2376C"/>
    <w:rsid w:val="00B23BFA"/>
    <w:rsid w:val="00B23C16"/>
    <w:rsid w:val="00B23DA2"/>
    <w:rsid w:val="00B2407A"/>
    <w:rsid w:val="00B24102"/>
    <w:rsid w:val="00B24258"/>
    <w:rsid w:val="00B249A8"/>
    <w:rsid w:val="00B24B89"/>
    <w:rsid w:val="00B24C98"/>
    <w:rsid w:val="00B24FCC"/>
    <w:rsid w:val="00B24FF1"/>
    <w:rsid w:val="00B250F0"/>
    <w:rsid w:val="00B253A9"/>
    <w:rsid w:val="00B2588F"/>
    <w:rsid w:val="00B25BEF"/>
    <w:rsid w:val="00B26080"/>
    <w:rsid w:val="00B26302"/>
    <w:rsid w:val="00B26549"/>
    <w:rsid w:val="00B27131"/>
    <w:rsid w:val="00B2757F"/>
    <w:rsid w:val="00B2763F"/>
    <w:rsid w:val="00B2772B"/>
    <w:rsid w:val="00B27AAC"/>
    <w:rsid w:val="00B27AF4"/>
    <w:rsid w:val="00B27F25"/>
    <w:rsid w:val="00B30436"/>
    <w:rsid w:val="00B304CB"/>
    <w:rsid w:val="00B30929"/>
    <w:rsid w:val="00B30C2F"/>
    <w:rsid w:val="00B30C87"/>
    <w:rsid w:val="00B3102E"/>
    <w:rsid w:val="00B31368"/>
    <w:rsid w:val="00B316BF"/>
    <w:rsid w:val="00B31DF0"/>
    <w:rsid w:val="00B3248F"/>
    <w:rsid w:val="00B324C0"/>
    <w:rsid w:val="00B32618"/>
    <w:rsid w:val="00B32699"/>
    <w:rsid w:val="00B328E2"/>
    <w:rsid w:val="00B32A7D"/>
    <w:rsid w:val="00B32EBC"/>
    <w:rsid w:val="00B32F3D"/>
    <w:rsid w:val="00B33044"/>
    <w:rsid w:val="00B33355"/>
    <w:rsid w:val="00B334B2"/>
    <w:rsid w:val="00B33BCD"/>
    <w:rsid w:val="00B33BF7"/>
    <w:rsid w:val="00B33C2F"/>
    <w:rsid w:val="00B33CE0"/>
    <w:rsid w:val="00B33E69"/>
    <w:rsid w:val="00B33E99"/>
    <w:rsid w:val="00B34616"/>
    <w:rsid w:val="00B34B99"/>
    <w:rsid w:val="00B34E89"/>
    <w:rsid w:val="00B3535F"/>
    <w:rsid w:val="00B3588A"/>
    <w:rsid w:val="00B35A9C"/>
    <w:rsid w:val="00B35C47"/>
    <w:rsid w:val="00B35D48"/>
    <w:rsid w:val="00B35F94"/>
    <w:rsid w:val="00B36170"/>
    <w:rsid w:val="00B361AD"/>
    <w:rsid w:val="00B36432"/>
    <w:rsid w:val="00B3645D"/>
    <w:rsid w:val="00B3669A"/>
    <w:rsid w:val="00B366DF"/>
    <w:rsid w:val="00B36852"/>
    <w:rsid w:val="00B368A9"/>
    <w:rsid w:val="00B36A94"/>
    <w:rsid w:val="00B36B1A"/>
    <w:rsid w:val="00B36C5F"/>
    <w:rsid w:val="00B36C97"/>
    <w:rsid w:val="00B36DD4"/>
    <w:rsid w:val="00B37101"/>
    <w:rsid w:val="00B371F5"/>
    <w:rsid w:val="00B372AA"/>
    <w:rsid w:val="00B373F0"/>
    <w:rsid w:val="00B37C26"/>
    <w:rsid w:val="00B37F55"/>
    <w:rsid w:val="00B40314"/>
    <w:rsid w:val="00B40445"/>
    <w:rsid w:val="00B40474"/>
    <w:rsid w:val="00B409E0"/>
    <w:rsid w:val="00B40A0A"/>
    <w:rsid w:val="00B40D26"/>
    <w:rsid w:val="00B413D6"/>
    <w:rsid w:val="00B41503"/>
    <w:rsid w:val="00B416AB"/>
    <w:rsid w:val="00B41888"/>
    <w:rsid w:val="00B420C2"/>
    <w:rsid w:val="00B4241C"/>
    <w:rsid w:val="00B427C4"/>
    <w:rsid w:val="00B42898"/>
    <w:rsid w:val="00B428D4"/>
    <w:rsid w:val="00B428D6"/>
    <w:rsid w:val="00B42D08"/>
    <w:rsid w:val="00B42FAD"/>
    <w:rsid w:val="00B42FF3"/>
    <w:rsid w:val="00B43073"/>
    <w:rsid w:val="00B438C2"/>
    <w:rsid w:val="00B43B05"/>
    <w:rsid w:val="00B43CA7"/>
    <w:rsid w:val="00B43E50"/>
    <w:rsid w:val="00B43F4B"/>
    <w:rsid w:val="00B440ED"/>
    <w:rsid w:val="00B44141"/>
    <w:rsid w:val="00B44196"/>
    <w:rsid w:val="00B44482"/>
    <w:rsid w:val="00B4491D"/>
    <w:rsid w:val="00B45174"/>
    <w:rsid w:val="00B45232"/>
    <w:rsid w:val="00B452AB"/>
    <w:rsid w:val="00B453D8"/>
    <w:rsid w:val="00B456BE"/>
    <w:rsid w:val="00B45A52"/>
    <w:rsid w:val="00B45A63"/>
    <w:rsid w:val="00B45C97"/>
    <w:rsid w:val="00B45CAB"/>
    <w:rsid w:val="00B46175"/>
    <w:rsid w:val="00B46310"/>
    <w:rsid w:val="00B46C0D"/>
    <w:rsid w:val="00B46C5F"/>
    <w:rsid w:val="00B46D1A"/>
    <w:rsid w:val="00B46EDA"/>
    <w:rsid w:val="00B4729B"/>
    <w:rsid w:val="00B4745C"/>
    <w:rsid w:val="00B4755F"/>
    <w:rsid w:val="00B47679"/>
    <w:rsid w:val="00B476C9"/>
    <w:rsid w:val="00B47868"/>
    <w:rsid w:val="00B47929"/>
    <w:rsid w:val="00B47A1E"/>
    <w:rsid w:val="00B47B51"/>
    <w:rsid w:val="00B47E4A"/>
    <w:rsid w:val="00B47F04"/>
    <w:rsid w:val="00B47FBF"/>
    <w:rsid w:val="00B50417"/>
    <w:rsid w:val="00B50D3E"/>
    <w:rsid w:val="00B50EB9"/>
    <w:rsid w:val="00B5120D"/>
    <w:rsid w:val="00B5141F"/>
    <w:rsid w:val="00B51483"/>
    <w:rsid w:val="00B519DE"/>
    <w:rsid w:val="00B51A05"/>
    <w:rsid w:val="00B51B24"/>
    <w:rsid w:val="00B51CCD"/>
    <w:rsid w:val="00B52392"/>
    <w:rsid w:val="00B523BF"/>
    <w:rsid w:val="00B528E6"/>
    <w:rsid w:val="00B52AA7"/>
    <w:rsid w:val="00B52B80"/>
    <w:rsid w:val="00B52DBE"/>
    <w:rsid w:val="00B53FEC"/>
    <w:rsid w:val="00B540A5"/>
    <w:rsid w:val="00B542D9"/>
    <w:rsid w:val="00B543A7"/>
    <w:rsid w:val="00B548B7"/>
    <w:rsid w:val="00B54C2B"/>
    <w:rsid w:val="00B54FE5"/>
    <w:rsid w:val="00B552BE"/>
    <w:rsid w:val="00B554C9"/>
    <w:rsid w:val="00B55533"/>
    <w:rsid w:val="00B5596F"/>
    <w:rsid w:val="00B55B25"/>
    <w:rsid w:val="00B55B57"/>
    <w:rsid w:val="00B55BB5"/>
    <w:rsid w:val="00B55C66"/>
    <w:rsid w:val="00B55D89"/>
    <w:rsid w:val="00B5604F"/>
    <w:rsid w:val="00B5618F"/>
    <w:rsid w:val="00B5650D"/>
    <w:rsid w:val="00B56516"/>
    <w:rsid w:val="00B566BE"/>
    <w:rsid w:val="00B568D7"/>
    <w:rsid w:val="00B569EB"/>
    <w:rsid w:val="00B56C32"/>
    <w:rsid w:val="00B56C60"/>
    <w:rsid w:val="00B577FA"/>
    <w:rsid w:val="00B5781D"/>
    <w:rsid w:val="00B579CE"/>
    <w:rsid w:val="00B57F50"/>
    <w:rsid w:val="00B6083D"/>
    <w:rsid w:val="00B60B06"/>
    <w:rsid w:val="00B60B26"/>
    <w:rsid w:val="00B60BD3"/>
    <w:rsid w:val="00B6105B"/>
    <w:rsid w:val="00B61294"/>
    <w:rsid w:val="00B6144E"/>
    <w:rsid w:val="00B61851"/>
    <w:rsid w:val="00B61979"/>
    <w:rsid w:val="00B61F2F"/>
    <w:rsid w:val="00B61F8E"/>
    <w:rsid w:val="00B62690"/>
    <w:rsid w:val="00B62697"/>
    <w:rsid w:val="00B6279B"/>
    <w:rsid w:val="00B62AE2"/>
    <w:rsid w:val="00B62B77"/>
    <w:rsid w:val="00B62F7F"/>
    <w:rsid w:val="00B63550"/>
    <w:rsid w:val="00B638E5"/>
    <w:rsid w:val="00B63AE9"/>
    <w:rsid w:val="00B63D3F"/>
    <w:rsid w:val="00B63DAF"/>
    <w:rsid w:val="00B63E65"/>
    <w:rsid w:val="00B646A1"/>
    <w:rsid w:val="00B6472A"/>
    <w:rsid w:val="00B6494A"/>
    <w:rsid w:val="00B64DBC"/>
    <w:rsid w:val="00B65193"/>
    <w:rsid w:val="00B6529E"/>
    <w:rsid w:val="00B652BE"/>
    <w:rsid w:val="00B655D2"/>
    <w:rsid w:val="00B657D4"/>
    <w:rsid w:val="00B6586B"/>
    <w:rsid w:val="00B65945"/>
    <w:rsid w:val="00B65B6E"/>
    <w:rsid w:val="00B65CF4"/>
    <w:rsid w:val="00B65E56"/>
    <w:rsid w:val="00B66303"/>
    <w:rsid w:val="00B66313"/>
    <w:rsid w:val="00B664C7"/>
    <w:rsid w:val="00B66720"/>
    <w:rsid w:val="00B6699B"/>
    <w:rsid w:val="00B66B95"/>
    <w:rsid w:val="00B670CD"/>
    <w:rsid w:val="00B67A6C"/>
    <w:rsid w:val="00B67D9F"/>
    <w:rsid w:val="00B67E61"/>
    <w:rsid w:val="00B67EFF"/>
    <w:rsid w:val="00B7002F"/>
    <w:rsid w:val="00B70035"/>
    <w:rsid w:val="00B70044"/>
    <w:rsid w:val="00B705DE"/>
    <w:rsid w:val="00B709E7"/>
    <w:rsid w:val="00B70D1D"/>
    <w:rsid w:val="00B70EFC"/>
    <w:rsid w:val="00B70F7A"/>
    <w:rsid w:val="00B71130"/>
    <w:rsid w:val="00B713D8"/>
    <w:rsid w:val="00B716CD"/>
    <w:rsid w:val="00B7188C"/>
    <w:rsid w:val="00B7193E"/>
    <w:rsid w:val="00B71CEA"/>
    <w:rsid w:val="00B71E5E"/>
    <w:rsid w:val="00B721A5"/>
    <w:rsid w:val="00B725DE"/>
    <w:rsid w:val="00B72617"/>
    <w:rsid w:val="00B72987"/>
    <w:rsid w:val="00B72AF9"/>
    <w:rsid w:val="00B72C69"/>
    <w:rsid w:val="00B72D85"/>
    <w:rsid w:val="00B72D8C"/>
    <w:rsid w:val="00B73063"/>
    <w:rsid w:val="00B735F8"/>
    <w:rsid w:val="00B739F6"/>
    <w:rsid w:val="00B73C85"/>
    <w:rsid w:val="00B74028"/>
    <w:rsid w:val="00B745A6"/>
    <w:rsid w:val="00B74615"/>
    <w:rsid w:val="00B74C68"/>
    <w:rsid w:val="00B753E7"/>
    <w:rsid w:val="00B7540B"/>
    <w:rsid w:val="00B754D0"/>
    <w:rsid w:val="00B759CB"/>
    <w:rsid w:val="00B75D40"/>
    <w:rsid w:val="00B75E85"/>
    <w:rsid w:val="00B75FEE"/>
    <w:rsid w:val="00B76579"/>
    <w:rsid w:val="00B7693B"/>
    <w:rsid w:val="00B769DE"/>
    <w:rsid w:val="00B769FC"/>
    <w:rsid w:val="00B778C6"/>
    <w:rsid w:val="00B77925"/>
    <w:rsid w:val="00B779CE"/>
    <w:rsid w:val="00B77BB8"/>
    <w:rsid w:val="00B8048C"/>
    <w:rsid w:val="00B804DC"/>
    <w:rsid w:val="00B805A1"/>
    <w:rsid w:val="00B8068C"/>
    <w:rsid w:val="00B80D56"/>
    <w:rsid w:val="00B80D8E"/>
    <w:rsid w:val="00B80E06"/>
    <w:rsid w:val="00B812DD"/>
    <w:rsid w:val="00B81314"/>
    <w:rsid w:val="00B8159A"/>
    <w:rsid w:val="00B815D7"/>
    <w:rsid w:val="00B81A6C"/>
    <w:rsid w:val="00B81A92"/>
    <w:rsid w:val="00B81B84"/>
    <w:rsid w:val="00B81C06"/>
    <w:rsid w:val="00B81C20"/>
    <w:rsid w:val="00B81C53"/>
    <w:rsid w:val="00B81E92"/>
    <w:rsid w:val="00B82181"/>
    <w:rsid w:val="00B825F3"/>
    <w:rsid w:val="00B82A48"/>
    <w:rsid w:val="00B82DDF"/>
    <w:rsid w:val="00B82E19"/>
    <w:rsid w:val="00B83126"/>
    <w:rsid w:val="00B84A41"/>
    <w:rsid w:val="00B84D17"/>
    <w:rsid w:val="00B84E93"/>
    <w:rsid w:val="00B84F60"/>
    <w:rsid w:val="00B852C3"/>
    <w:rsid w:val="00B85619"/>
    <w:rsid w:val="00B8583D"/>
    <w:rsid w:val="00B85DE5"/>
    <w:rsid w:val="00B86683"/>
    <w:rsid w:val="00B86703"/>
    <w:rsid w:val="00B869E8"/>
    <w:rsid w:val="00B86AB7"/>
    <w:rsid w:val="00B86BDD"/>
    <w:rsid w:val="00B86C66"/>
    <w:rsid w:val="00B86D7B"/>
    <w:rsid w:val="00B86E1E"/>
    <w:rsid w:val="00B87549"/>
    <w:rsid w:val="00B87557"/>
    <w:rsid w:val="00B8755D"/>
    <w:rsid w:val="00B87A07"/>
    <w:rsid w:val="00B87AE7"/>
    <w:rsid w:val="00B90937"/>
    <w:rsid w:val="00B90CCB"/>
    <w:rsid w:val="00B90E7C"/>
    <w:rsid w:val="00B90F73"/>
    <w:rsid w:val="00B91B18"/>
    <w:rsid w:val="00B91B30"/>
    <w:rsid w:val="00B91C95"/>
    <w:rsid w:val="00B91CB1"/>
    <w:rsid w:val="00B922B4"/>
    <w:rsid w:val="00B92764"/>
    <w:rsid w:val="00B9289A"/>
    <w:rsid w:val="00B92960"/>
    <w:rsid w:val="00B92BB4"/>
    <w:rsid w:val="00B92F2E"/>
    <w:rsid w:val="00B92F5A"/>
    <w:rsid w:val="00B92FD1"/>
    <w:rsid w:val="00B93272"/>
    <w:rsid w:val="00B93912"/>
    <w:rsid w:val="00B93969"/>
    <w:rsid w:val="00B93B59"/>
    <w:rsid w:val="00B9406A"/>
    <w:rsid w:val="00B944B5"/>
    <w:rsid w:val="00B94579"/>
    <w:rsid w:val="00B9496B"/>
    <w:rsid w:val="00B94E01"/>
    <w:rsid w:val="00B9507D"/>
    <w:rsid w:val="00B95110"/>
    <w:rsid w:val="00B951C7"/>
    <w:rsid w:val="00B95277"/>
    <w:rsid w:val="00B953BF"/>
    <w:rsid w:val="00B954A6"/>
    <w:rsid w:val="00B95624"/>
    <w:rsid w:val="00B95B60"/>
    <w:rsid w:val="00B96146"/>
    <w:rsid w:val="00B961D0"/>
    <w:rsid w:val="00B9659F"/>
    <w:rsid w:val="00B96920"/>
    <w:rsid w:val="00B969DA"/>
    <w:rsid w:val="00B96DED"/>
    <w:rsid w:val="00B96EDF"/>
    <w:rsid w:val="00B97415"/>
    <w:rsid w:val="00B97456"/>
    <w:rsid w:val="00B97527"/>
    <w:rsid w:val="00B979B8"/>
    <w:rsid w:val="00B97DD7"/>
    <w:rsid w:val="00B97F0C"/>
    <w:rsid w:val="00BA02AA"/>
    <w:rsid w:val="00BA09C0"/>
    <w:rsid w:val="00BA11F4"/>
    <w:rsid w:val="00BA1295"/>
    <w:rsid w:val="00BA1A31"/>
    <w:rsid w:val="00BA1B2C"/>
    <w:rsid w:val="00BA1C9C"/>
    <w:rsid w:val="00BA1EEF"/>
    <w:rsid w:val="00BA2280"/>
    <w:rsid w:val="00BA2452"/>
    <w:rsid w:val="00BA2774"/>
    <w:rsid w:val="00BA29A9"/>
    <w:rsid w:val="00BA2A08"/>
    <w:rsid w:val="00BA3374"/>
    <w:rsid w:val="00BA3F00"/>
    <w:rsid w:val="00BA3F95"/>
    <w:rsid w:val="00BA4844"/>
    <w:rsid w:val="00BA4C39"/>
    <w:rsid w:val="00BA4C98"/>
    <w:rsid w:val="00BA4D3D"/>
    <w:rsid w:val="00BA4E07"/>
    <w:rsid w:val="00BA4F44"/>
    <w:rsid w:val="00BA5220"/>
    <w:rsid w:val="00BA53C6"/>
    <w:rsid w:val="00BA568E"/>
    <w:rsid w:val="00BA56D2"/>
    <w:rsid w:val="00BA58E0"/>
    <w:rsid w:val="00BA5EFF"/>
    <w:rsid w:val="00BA5F20"/>
    <w:rsid w:val="00BA60B5"/>
    <w:rsid w:val="00BA6155"/>
    <w:rsid w:val="00BA66E6"/>
    <w:rsid w:val="00BA6BF6"/>
    <w:rsid w:val="00BA6C99"/>
    <w:rsid w:val="00BA6F11"/>
    <w:rsid w:val="00BA7169"/>
    <w:rsid w:val="00BA71F3"/>
    <w:rsid w:val="00BA76E0"/>
    <w:rsid w:val="00BA7954"/>
    <w:rsid w:val="00BA7D5E"/>
    <w:rsid w:val="00BA7F99"/>
    <w:rsid w:val="00BB0004"/>
    <w:rsid w:val="00BB00DE"/>
    <w:rsid w:val="00BB0C1F"/>
    <w:rsid w:val="00BB0C34"/>
    <w:rsid w:val="00BB0C82"/>
    <w:rsid w:val="00BB1044"/>
    <w:rsid w:val="00BB1337"/>
    <w:rsid w:val="00BB14F2"/>
    <w:rsid w:val="00BB1569"/>
    <w:rsid w:val="00BB1C4F"/>
    <w:rsid w:val="00BB1E71"/>
    <w:rsid w:val="00BB2064"/>
    <w:rsid w:val="00BB20F5"/>
    <w:rsid w:val="00BB26C7"/>
    <w:rsid w:val="00BB2A25"/>
    <w:rsid w:val="00BB2F86"/>
    <w:rsid w:val="00BB3088"/>
    <w:rsid w:val="00BB30D3"/>
    <w:rsid w:val="00BB3158"/>
    <w:rsid w:val="00BB3368"/>
    <w:rsid w:val="00BB34B0"/>
    <w:rsid w:val="00BB375B"/>
    <w:rsid w:val="00BB396B"/>
    <w:rsid w:val="00BB39EF"/>
    <w:rsid w:val="00BB3C54"/>
    <w:rsid w:val="00BB44B9"/>
    <w:rsid w:val="00BB5193"/>
    <w:rsid w:val="00BB51E9"/>
    <w:rsid w:val="00BB55D8"/>
    <w:rsid w:val="00BB5940"/>
    <w:rsid w:val="00BB5AB5"/>
    <w:rsid w:val="00BB5C4C"/>
    <w:rsid w:val="00BB5CEE"/>
    <w:rsid w:val="00BB664E"/>
    <w:rsid w:val="00BB66BD"/>
    <w:rsid w:val="00BB6D2C"/>
    <w:rsid w:val="00BB6D5B"/>
    <w:rsid w:val="00BB6DF6"/>
    <w:rsid w:val="00BB6F14"/>
    <w:rsid w:val="00BB73C4"/>
    <w:rsid w:val="00BB7E73"/>
    <w:rsid w:val="00BB7FA7"/>
    <w:rsid w:val="00BC0342"/>
    <w:rsid w:val="00BC058E"/>
    <w:rsid w:val="00BC0627"/>
    <w:rsid w:val="00BC06D5"/>
    <w:rsid w:val="00BC07FF"/>
    <w:rsid w:val="00BC0A48"/>
    <w:rsid w:val="00BC0BDC"/>
    <w:rsid w:val="00BC0E45"/>
    <w:rsid w:val="00BC0ED9"/>
    <w:rsid w:val="00BC0FDC"/>
    <w:rsid w:val="00BC115C"/>
    <w:rsid w:val="00BC1269"/>
    <w:rsid w:val="00BC18C7"/>
    <w:rsid w:val="00BC1CB3"/>
    <w:rsid w:val="00BC1CED"/>
    <w:rsid w:val="00BC1DB3"/>
    <w:rsid w:val="00BC1E9E"/>
    <w:rsid w:val="00BC1FE5"/>
    <w:rsid w:val="00BC2247"/>
    <w:rsid w:val="00BC25D2"/>
    <w:rsid w:val="00BC2617"/>
    <w:rsid w:val="00BC2E45"/>
    <w:rsid w:val="00BC2F2A"/>
    <w:rsid w:val="00BC3053"/>
    <w:rsid w:val="00BC3AB2"/>
    <w:rsid w:val="00BC3C0E"/>
    <w:rsid w:val="00BC3E95"/>
    <w:rsid w:val="00BC3F1B"/>
    <w:rsid w:val="00BC46FD"/>
    <w:rsid w:val="00BC47B0"/>
    <w:rsid w:val="00BC4AF4"/>
    <w:rsid w:val="00BC4D2E"/>
    <w:rsid w:val="00BC5294"/>
    <w:rsid w:val="00BC5B15"/>
    <w:rsid w:val="00BC5CAC"/>
    <w:rsid w:val="00BC5D9B"/>
    <w:rsid w:val="00BC5F05"/>
    <w:rsid w:val="00BC61CB"/>
    <w:rsid w:val="00BC623E"/>
    <w:rsid w:val="00BC63A9"/>
    <w:rsid w:val="00BC6585"/>
    <w:rsid w:val="00BC666B"/>
    <w:rsid w:val="00BC695B"/>
    <w:rsid w:val="00BC6A24"/>
    <w:rsid w:val="00BC6A85"/>
    <w:rsid w:val="00BC6D5F"/>
    <w:rsid w:val="00BC6F02"/>
    <w:rsid w:val="00BC7758"/>
    <w:rsid w:val="00BC787E"/>
    <w:rsid w:val="00BC7CB2"/>
    <w:rsid w:val="00BD02AF"/>
    <w:rsid w:val="00BD0700"/>
    <w:rsid w:val="00BD0927"/>
    <w:rsid w:val="00BD0EEC"/>
    <w:rsid w:val="00BD13D3"/>
    <w:rsid w:val="00BD15E5"/>
    <w:rsid w:val="00BD16BE"/>
    <w:rsid w:val="00BD1722"/>
    <w:rsid w:val="00BD1832"/>
    <w:rsid w:val="00BD1A11"/>
    <w:rsid w:val="00BD2349"/>
    <w:rsid w:val="00BD239F"/>
    <w:rsid w:val="00BD27E6"/>
    <w:rsid w:val="00BD2B32"/>
    <w:rsid w:val="00BD2BA9"/>
    <w:rsid w:val="00BD2D73"/>
    <w:rsid w:val="00BD2DD7"/>
    <w:rsid w:val="00BD387E"/>
    <w:rsid w:val="00BD3885"/>
    <w:rsid w:val="00BD39BF"/>
    <w:rsid w:val="00BD3BD5"/>
    <w:rsid w:val="00BD3C12"/>
    <w:rsid w:val="00BD3E88"/>
    <w:rsid w:val="00BD3EE7"/>
    <w:rsid w:val="00BD41CE"/>
    <w:rsid w:val="00BD42DF"/>
    <w:rsid w:val="00BD4607"/>
    <w:rsid w:val="00BD48AC"/>
    <w:rsid w:val="00BD48C6"/>
    <w:rsid w:val="00BD4952"/>
    <w:rsid w:val="00BD4BAB"/>
    <w:rsid w:val="00BD4BE8"/>
    <w:rsid w:val="00BD4F76"/>
    <w:rsid w:val="00BD52F3"/>
    <w:rsid w:val="00BD5509"/>
    <w:rsid w:val="00BD5AD7"/>
    <w:rsid w:val="00BD5C96"/>
    <w:rsid w:val="00BD5CE4"/>
    <w:rsid w:val="00BD5F1A"/>
    <w:rsid w:val="00BD5F4D"/>
    <w:rsid w:val="00BD674D"/>
    <w:rsid w:val="00BD6A00"/>
    <w:rsid w:val="00BD6B29"/>
    <w:rsid w:val="00BD6F3A"/>
    <w:rsid w:val="00BD6FB8"/>
    <w:rsid w:val="00BD7181"/>
    <w:rsid w:val="00BD71F4"/>
    <w:rsid w:val="00BD7259"/>
    <w:rsid w:val="00BD79AD"/>
    <w:rsid w:val="00BD7BAF"/>
    <w:rsid w:val="00BD7FBC"/>
    <w:rsid w:val="00BE0100"/>
    <w:rsid w:val="00BE01F9"/>
    <w:rsid w:val="00BE0356"/>
    <w:rsid w:val="00BE039E"/>
    <w:rsid w:val="00BE046B"/>
    <w:rsid w:val="00BE0919"/>
    <w:rsid w:val="00BE0C4F"/>
    <w:rsid w:val="00BE0DA0"/>
    <w:rsid w:val="00BE0E40"/>
    <w:rsid w:val="00BE0E59"/>
    <w:rsid w:val="00BE0E70"/>
    <w:rsid w:val="00BE109F"/>
    <w:rsid w:val="00BE10FF"/>
    <w:rsid w:val="00BE1234"/>
    <w:rsid w:val="00BE159E"/>
    <w:rsid w:val="00BE1A3A"/>
    <w:rsid w:val="00BE1AF8"/>
    <w:rsid w:val="00BE203A"/>
    <w:rsid w:val="00BE2450"/>
    <w:rsid w:val="00BE2639"/>
    <w:rsid w:val="00BE2E6B"/>
    <w:rsid w:val="00BE2EB3"/>
    <w:rsid w:val="00BE2FA6"/>
    <w:rsid w:val="00BE30F8"/>
    <w:rsid w:val="00BE31C3"/>
    <w:rsid w:val="00BE3244"/>
    <w:rsid w:val="00BE333F"/>
    <w:rsid w:val="00BE3708"/>
    <w:rsid w:val="00BE373C"/>
    <w:rsid w:val="00BE3CDA"/>
    <w:rsid w:val="00BE40CA"/>
    <w:rsid w:val="00BE4333"/>
    <w:rsid w:val="00BE43E9"/>
    <w:rsid w:val="00BE4534"/>
    <w:rsid w:val="00BE45E5"/>
    <w:rsid w:val="00BE4BD5"/>
    <w:rsid w:val="00BE4DBD"/>
    <w:rsid w:val="00BE4E6E"/>
    <w:rsid w:val="00BE52BD"/>
    <w:rsid w:val="00BE5A59"/>
    <w:rsid w:val="00BE5E1C"/>
    <w:rsid w:val="00BE6108"/>
    <w:rsid w:val="00BE6116"/>
    <w:rsid w:val="00BE6152"/>
    <w:rsid w:val="00BE62BD"/>
    <w:rsid w:val="00BE654A"/>
    <w:rsid w:val="00BE6954"/>
    <w:rsid w:val="00BE6A2F"/>
    <w:rsid w:val="00BE6B7C"/>
    <w:rsid w:val="00BE6C96"/>
    <w:rsid w:val="00BE718A"/>
    <w:rsid w:val="00BE7406"/>
    <w:rsid w:val="00BE7603"/>
    <w:rsid w:val="00BE776E"/>
    <w:rsid w:val="00BE7989"/>
    <w:rsid w:val="00BE7F78"/>
    <w:rsid w:val="00BF0104"/>
    <w:rsid w:val="00BF01C7"/>
    <w:rsid w:val="00BF042E"/>
    <w:rsid w:val="00BF048F"/>
    <w:rsid w:val="00BF0552"/>
    <w:rsid w:val="00BF0726"/>
    <w:rsid w:val="00BF0820"/>
    <w:rsid w:val="00BF0A70"/>
    <w:rsid w:val="00BF0BF0"/>
    <w:rsid w:val="00BF0CB6"/>
    <w:rsid w:val="00BF0CF6"/>
    <w:rsid w:val="00BF0E2B"/>
    <w:rsid w:val="00BF0EDA"/>
    <w:rsid w:val="00BF1281"/>
    <w:rsid w:val="00BF1468"/>
    <w:rsid w:val="00BF1563"/>
    <w:rsid w:val="00BF15CD"/>
    <w:rsid w:val="00BF1A1D"/>
    <w:rsid w:val="00BF1D57"/>
    <w:rsid w:val="00BF2463"/>
    <w:rsid w:val="00BF288B"/>
    <w:rsid w:val="00BF2F94"/>
    <w:rsid w:val="00BF3279"/>
    <w:rsid w:val="00BF365B"/>
    <w:rsid w:val="00BF3B59"/>
    <w:rsid w:val="00BF3E80"/>
    <w:rsid w:val="00BF433C"/>
    <w:rsid w:val="00BF4340"/>
    <w:rsid w:val="00BF4378"/>
    <w:rsid w:val="00BF44A1"/>
    <w:rsid w:val="00BF46FD"/>
    <w:rsid w:val="00BF49E9"/>
    <w:rsid w:val="00BF5261"/>
    <w:rsid w:val="00BF53FD"/>
    <w:rsid w:val="00BF5838"/>
    <w:rsid w:val="00BF58DF"/>
    <w:rsid w:val="00BF58F1"/>
    <w:rsid w:val="00BF5994"/>
    <w:rsid w:val="00BF627F"/>
    <w:rsid w:val="00BF6386"/>
    <w:rsid w:val="00BF6418"/>
    <w:rsid w:val="00BF6697"/>
    <w:rsid w:val="00BF6796"/>
    <w:rsid w:val="00BF6D2C"/>
    <w:rsid w:val="00BF6F07"/>
    <w:rsid w:val="00BF71DB"/>
    <w:rsid w:val="00BF7267"/>
    <w:rsid w:val="00BF74C7"/>
    <w:rsid w:val="00BF79A7"/>
    <w:rsid w:val="00BF7FDC"/>
    <w:rsid w:val="00C0009F"/>
    <w:rsid w:val="00C000AC"/>
    <w:rsid w:val="00C002F8"/>
    <w:rsid w:val="00C0051F"/>
    <w:rsid w:val="00C0087E"/>
    <w:rsid w:val="00C009B0"/>
    <w:rsid w:val="00C00F23"/>
    <w:rsid w:val="00C00F30"/>
    <w:rsid w:val="00C00F6B"/>
    <w:rsid w:val="00C011B8"/>
    <w:rsid w:val="00C01305"/>
    <w:rsid w:val="00C013EE"/>
    <w:rsid w:val="00C015B0"/>
    <w:rsid w:val="00C015F1"/>
    <w:rsid w:val="00C01607"/>
    <w:rsid w:val="00C01799"/>
    <w:rsid w:val="00C01C49"/>
    <w:rsid w:val="00C01DA0"/>
    <w:rsid w:val="00C01E54"/>
    <w:rsid w:val="00C01F33"/>
    <w:rsid w:val="00C02B43"/>
    <w:rsid w:val="00C02BCC"/>
    <w:rsid w:val="00C02CC6"/>
    <w:rsid w:val="00C032A9"/>
    <w:rsid w:val="00C0355A"/>
    <w:rsid w:val="00C03E26"/>
    <w:rsid w:val="00C04075"/>
    <w:rsid w:val="00C040F7"/>
    <w:rsid w:val="00C042EE"/>
    <w:rsid w:val="00C04333"/>
    <w:rsid w:val="00C044AB"/>
    <w:rsid w:val="00C048EB"/>
    <w:rsid w:val="00C04BD9"/>
    <w:rsid w:val="00C04E60"/>
    <w:rsid w:val="00C05127"/>
    <w:rsid w:val="00C0566A"/>
    <w:rsid w:val="00C056CB"/>
    <w:rsid w:val="00C05706"/>
    <w:rsid w:val="00C0583A"/>
    <w:rsid w:val="00C05A21"/>
    <w:rsid w:val="00C05E6A"/>
    <w:rsid w:val="00C0611D"/>
    <w:rsid w:val="00C06128"/>
    <w:rsid w:val="00C065F6"/>
    <w:rsid w:val="00C06913"/>
    <w:rsid w:val="00C06C00"/>
    <w:rsid w:val="00C06DFF"/>
    <w:rsid w:val="00C07010"/>
    <w:rsid w:val="00C07377"/>
    <w:rsid w:val="00C074FD"/>
    <w:rsid w:val="00C0780B"/>
    <w:rsid w:val="00C0783E"/>
    <w:rsid w:val="00C07BE1"/>
    <w:rsid w:val="00C07D34"/>
    <w:rsid w:val="00C07E73"/>
    <w:rsid w:val="00C100CB"/>
    <w:rsid w:val="00C1018F"/>
    <w:rsid w:val="00C101A4"/>
    <w:rsid w:val="00C10478"/>
    <w:rsid w:val="00C104E5"/>
    <w:rsid w:val="00C107EC"/>
    <w:rsid w:val="00C10C47"/>
    <w:rsid w:val="00C10EB6"/>
    <w:rsid w:val="00C10F11"/>
    <w:rsid w:val="00C11011"/>
    <w:rsid w:val="00C11A3E"/>
    <w:rsid w:val="00C11DD0"/>
    <w:rsid w:val="00C11FA0"/>
    <w:rsid w:val="00C12107"/>
    <w:rsid w:val="00C12179"/>
    <w:rsid w:val="00C1260E"/>
    <w:rsid w:val="00C12C62"/>
    <w:rsid w:val="00C12CF4"/>
    <w:rsid w:val="00C12E6F"/>
    <w:rsid w:val="00C12FC4"/>
    <w:rsid w:val="00C1348D"/>
    <w:rsid w:val="00C1378C"/>
    <w:rsid w:val="00C137A9"/>
    <w:rsid w:val="00C138D5"/>
    <w:rsid w:val="00C13BCC"/>
    <w:rsid w:val="00C13EA0"/>
    <w:rsid w:val="00C13F2C"/>
    <w:rsid w:val="00C13F2D"/>
    <w:rsid w:val="00C14034"/>
    <w:rsid w:val="00C1452C"/>
    <w:rsid w:val="00C145E4"/>
    <w:rsid w:val="00C14ABB"/>
    <w:rsid w:val="00C14C50"/>
    <w:rsid w:val="00C14D4B"/>
    <w:rsid w:val="00C151D3"/>
    <w:rsid w:val="00C1537D"/>
    <w:rsid w:val="00C15436"/>
    <w:rsid w:val="00C154BB"/>
    <w:rsid w:val="00C1589C"/>
    <w:rsid w:val="00C15BE4"/>
    <w:rsid w:val="00C15DBB"/>
    <w:rsid w:val="00C15ED8"/>
    <w:rsid w:val="00C161E1"/>
    <w:rsid w:val="00C16571"/>
    <w:rsid w:val="00C167E8"/>
    <w:rsid w:val="00C1695E"/>
    <w:rsid w:val="00C169A5"/>
    <w:rsid w:val="00C16B02"/>
    <w:rsid w:val="00C1738F"/>
    <w:rsid w:val="00C17419"/>
    <w:rsid w:val="00C17529"/>
    <w:rsid w:val="00C17699"/>
    <w:rsid w:val="00C1797A"/>
    <w:rsid w:val="00C17A36"/>
    <w:rsid w:val="00C17C41"/>
    <w:rsid w:val="00C17CCA"/>
    <w:rsid w:val="00C17DBB"/>
    <w:rsid w:val="00C17E6D"/>
    <w:rsid w:val="00C17EF4"/>
    <w:rsid w:val="00C20032"/>
    <w:rsid w:val="00C20682"/>
    <w:rsid w:val="00C20799"/>
    <w:rsid w:val="00C209BF"/>
    <w:rsid w:val="00C209C6"/>
    <w:rsid w:val="00C215E2"/>
    <w:rsid w:val="00C2171A"/>
    <w:rsid w:val="00C21CFB"/>
    <w:rsid w:val="00C21F2E"/>
    <w:rsid w:val="00C21F55"/>
    <w:rsid w:val="00C2213B"/>
    <w:rsid w:val="00C221EC"/>
    <w:rsid w:val="00C223B2"/>
    <w:rsid w:val="00C22598"/>
    <w:rsid w:val="00C227AC"/>
    <w:rsid w:val="00C22A9E"/>
    <w:rsid w:val="00C22D22"/>
    <w:rsid w:val="00C23016"/>
    <w:rsid w:val="00C2321F"/>
    <w:rsid w:val="00C236D8"/>
    <w:rsid w:val="00C238BC"/>
    <w:rsid w:val="00C239F9"/>
    <w:rsid w:val="00C23B4D"/>
    <w:rsid w:val="00C23F98"/>
    <w:rsid w:val="00C2423E"/>
    <w:rsid w:val="00C2442E"/>
    <w:rsid w:val="00C24AC2"/>
    <w:rsid w:val="00C24B07"/>
    <w:rsid w:val="00C24C3F"/>
    <w:rsid w:val="00C2502F"/>
    <w:rsid w:val="00C257C2"/>
    <w:rsid w:val="00C25FFE"/>
    <w:rsid w:val="00C260C1"/>
    <w:rsid w:val="00C2646A"/>
    <w:rsid w:val="00C26818"/>
    <w:rsid w:val="00C269B6"/>
    <w:rsid w:val="00C26FDE"/>
    <w:rsid w:val="00C27000"/>
    <w:rsid w:val="00C271FE"/>
    <w:rsid w:val="00C2722C"/>
    <w:rsid w:val="00C272A0"/>
    <w:rsid w:val="00C274E6"/>
    <w:rsid w:val="00C2778F"/>
    <w:rsid w:val="00C27950"/>
    <w:rsid w:val="00C2799E"/>
    <w:rsid w:val="00C279B5"/>
    <w:rsid w:val="00C27C45"/>
    <w:rsid w:val="00C27CBE"/>
    <w:rsid w:val="00C27F61"/>
    <w:rsid w:val="00C30049"/>
    <w:rsid w:val="00C3057E"/>
    <w:rsid w:val="00C305B1"/>
    <w:rsid w:val="00C30651"/>
    <w:rsid w:val="00C30D24"/>
    <w:rsid w:val="00C31390"/>
    <w:rsid w:val="00C31720"/>
    <w:rsid w:val="00C31772"/>
    <w:rsid w:val="00C31895"/>
    <w:rsid w:val="00C31ABB"/>
    <w:rsid w:val="00C320DD"/>
    <w:rsid w:val="00C322D1"/>
    <w:rsid w:val="00C32D1D"/>
    <w:rsid w:val="00C32E7E"/>
    <w:rsid w:val="00C32EA3"/>
    <w:rsid w:val="00C33068"/>
    <w:rsid w:val="00C3310B"/>
    <w:rsid w:val="00C335C9"/>
    <w:rsid w:val="00C3376F"/>
    <w:rsid w:val="00C33A4C"/>
    <w:rsid w:val="00C33CCD"/>
    <w:rsid w:val="00C33E8C"/>
    <w:rsid w:val="00C34516"/>
    <w:rsid w:val="00C3516F"/>
    <w:rsid w:val="00C35343"/>
    <w:rsid w:val="00C35471"/>
    <w:rsid w:val="00C35A14"/>
    <w:rsid w:val="00C360FA"/>
    <w:rsid w:val="00C367CD"/>
    <w:rsid w:val="00C36A53"/>
    <w:rsid w:val="00C36D8D"/>
    <w:rsid w:val="00C3719D"/>
    <w:rsid w:val="00C37271"/>
    <w:rsid w:val="00C376B8"/>
    <w:rsid w:val="00C378AE"/>
    <w:rsid w:val="00C378DB"/>
    <w:rsid w:val="00C37CB2"/>
    <w:rsid w:val="00C37DF6"/>
    <w:rsid w:val="00C402C6"/>
    <w:rsid w:val="00C404A2"/>
    <w:rsid w:val="00C409D2"/>
    <w:rsid w:val="00C40DD0"/>
    <w:rsid w:val="00C40EF1"/>
    <w:rsid w:val="00C4155B"/>
    <w:rsid w:val="00C416CD"/>
    <w:rsid w:val="00C4178B"/>
    <w:rsid w:val="00C41879"/>
    <w:rsid w:val="00C41914"/>
    <w:rsid w:val="00C41DB0"/>
    <w:rsid w:val="00C41F9D"/>
    <w:rsid w:val="00C4206F"/>
    <w:rsid w:val="00C4208F"/>
    <w:rsid w:val="00C420AC"/>
    <w:rsid w:val="00C420E2"/>
    <w:rsid w:val="00C4215C"/>
    <w:rsid w:val="00C4232F"/>
    <w:rsid w:val="00C4284F"/>
    <w:rsid w:val="00C42A4F"/>
    <w:rsid w:val="00C42AEF"/>
    <w:rsid w:val="00C42BFD"/>
    <w:rsid w:val="00C42DD9"/>
    <w:rsid w:val="00C430D4"/>
    <w:rsid w:val="00C4346E"/>
    <w:rsid w:val="00C434C4"/>
    <w:rsid w:val="00C43566"/>
    <w:rsid w:val="00C43819"/>
    <w:rsid w:val="00C43858"/>
    <w:rsid w:val="00C438A7"/>
    <w:rsid w:val="00C4428D"/>
    <w:rsid w:val="00C44BB9"/>
    <w:rsid w:val="00C44E2A"/>
    <w:rsid w:val="00C450E5"/>
    <w:rsid w:val="00C45143"/>
    <w:rsid w:val="00C4598E"/>
    <w:rsid w:val="00C45B6B"/>
    <w:rsid w:val="00C46046"/>
    <w:rsid w:val="00C4685F"/>
    <w:rsid w:val="00C46963"/>
    <w:rsid w:val="00C46BA6"/>
    <w:rsid w:val="00C46DF3"/>
    <w:rsid w:val="00C470D2"/>
    <w:rsid w:val="00C47296"/>
    <w:rsid w:val="00C47322"/>
    <w:rsid w:val="00C473A5"/>
    <w:rsid w:val="00C4740A"/>
    <w:rsid w:val="00C476EF"/>
    <w:rsid w:val="00C4777B"/>
    <w:rsid w:val="00C478F0"/>
    <w:rsid w:val="00C47926"/>
    <w:rsid w:val="00C47E98"/>
    <w:rsid w:val="00C5007A"/>
    <w:rsid w:val="00C507A2"/>
    <w:rsid w:val="00C507E4"/>
    <w:rsid w:val="00C50D12"/>
    <w:rsid w:val="00C50FA9"/>
    <w:rsid w:val="00C51001"/>
    <w:rsid w:val="00C513E2"/>
    <w:rsid w:val="00C520AF"/>
    <w:rsid w:val="00C52230"/>
    <w:rsid w:val="00C5247D"/>
    <w:rsid w:val="00C525C7"/>
    <w:rsid w:val="00C5296D"/>
    <w:rsid w:val="00C52B5D"/>
    <w:rsid w:val="00C52E6A"/>
    <w:rsid w:val="00C52FBF"/>
    <w:rsid w:val="00C5354D"/>
    <w:rsid w:val="00C53788"/>
    <w:rsid w:val="00C53926"/>
    <w:rsid w:val="00C53C85"/>
    <w:rsid w:val="00C53D18"/>
    <w:rsid w:val="00C53DD9"/>
    <w:rsid w:val="00C5407F"/>
    <w:rsid w:val="00C5409C"/>
    <w:rsid w:val="00C5451E"/>
    <w:rsid w:val="00C546D7"/>
    <w:rsid w:val="00C54995"/>
    <w:rsid w:val="00C54D41"/>
    <w:rsid w:val="00C54F8F"/>
    <w:rsid w:val="00C550F3"/>
    <w:rsid w:val="00C555E4"/>
    <w:rsid w:val="00C556DC"/>
    <w:rsid w:val="00C556F2"/>
    <w:rsid w:val="00C559D5"/>
    <w:rsid w:val="00C559F8"/>
    <w:rsid w:val="00C55BDD"/>
    <w:rsid w:val="00C55DC4"/>
    <w:rsid w:val="00C55DFE"/>
    <w:rsid w:val="00C56251"/>
    <w:rsid w:val="00C56396"/>
    <w:rsid w:val="00C56668"/>
    <w:rsid w:val="00C56782"/>
    <w:rsid w:val="00C56A84"/>
    <w:rsid w:val="00C56E5F"/>
    <w:rsid w:val="00C57374"/>
    <w:rsid w:val="00C575C4"/>
    <w:rsid w:val="00C5782C"/>
    <w:rsid w:val="00C578CB"/>
    <w:rsid w:val="00C57903"/>
    <w:rsid w:val="00C57A19"/>
    <w:rsid w:val="00C57A38"/>
    <w:rsid w:val="00C57AFD"/>
    <w:rsid w:val="00C57CB7"/>
    <w:rsid w:val="00C57E80"/>
    <w:rsid w:val="00C57EB6"/>
    <w:rsid w:val="00C60145"/>
    <w:rsid w:val="00C604A6"/>
    <w:rsid w:val="00C60783"/>
    <w:rsid w:val="00C609D7"/>
    <w:rsid w:val="00C60B88"/>
    <w:rsid w:val="00C60CDB"/>
    <w:rsid w:val="00C60EC3"/>
    <w:rsid w:val="00C6108C"/>
    <w:rsid w:val="00C6146E"/>
    <w:rsid w:val="00C6170D"/>
    <w:rsid w:val="00C6186E"/>
    <w:rsid w:val="00C61A5A"/>
    <w:rsid w:val="00C6201B"/>
    <w:rsid w:val="00C621C7"/>
    <w:rsid w:val="00C6224E"/>
    <w:rsid w:val="00C6237D"/>
    <w:rsid w:val="00C6277B"/>
    <w:rsid w:val="00C62834"/>
    <w:rsid w:val="00C62A83"/>
    <w:rsid w:val="00C62C5D"/>
    <w:rsid w:val="00C62C9F"/>
    <w:rsid w:val="00C634DB"/>
    <w:rsid w:val="00C636CA"/>
    <w:rsid w:val="00C6391A"/>
    <w:rsid w:val="00C639D1"/>
    <w:rsid w:val="00C63A4B"/>
    <w:rsid w:val="00C63B37"/>
    <w:rsid w:val="00C63C3C"/>
    <w:rsid w:val="00C64391"/>
    <w:rsid w:val="00C643BB"/>
    <w:rsid w:val="00C64672"/>
    <w:rsid w:val="00C649DB"/>
    <w:rsid w:val="00C64A89"/>
    <w:rsid w:val="00C64B1F"/>
    <w:rsid w:val="00C6522C"/>
    <w:rsid w:val="00C65238"/>
    <w:rsid w:val="00C65511"/>
    <w:rsid w:val="00C65644"/>
    <w:rsid w:val="00C65746"/>
    <w:rsid w:val="00C65906"/>
    <w:rsid w:val="00C659AF"/>
    <w:rsid w:val="00C65A5A"/>
    <w:rsid w:val="00C65C77"/>
    <w:rsid w:val="00C6606F"/>
    <w:rsid w:val="00C66282"/>
    <w:rsid w:val="00C67600"/>
    <w:rsid w:val="00C6775D"/>
    <w:rsid w:val="00C67916"/>
    <w:rsid w:val="00C67961"/>
    <w:rsid w:val="00C67A94"/>
    <w:rsid w:val="00C67B46"/>
    <w:rsid w:val="00C67B5C"/>
    <w:rsid w:val="00C67E01"/>
    <w:rsid w:val="00C67FF4"/>
    <w:rsid w:val="00C70082"/>
    <w:rsid w:val="00C70156"/>
    <w:rsid w:val="00C70197"/>
    <w:rsid w:val="00C703EC"/>
    <w:rsid w:val="00C70697"/>
    <w:rsid w:val="00C70700"/>
    <w:rsid w:val="00C709B4"/>
    <w:rsid w:val="00C713D3"/>
    <w:rsid w:val="00C7168B"/>
    <w:rsid w:val="00C71751"/>
    <w:rsid w:val="00C71824"/>
    <w:rsid w:val="00C718FC"/>
    <w:rsid w:val="00C71917"/>
    <w:rsid w:val="00C719EA"/>
    <w:rsid w:val="00C71AF9"/>
    <w:rsid w:val="00C72093"/>
    <w:rsid w:val="00C72197"/>
    <w:rsid w:val="00C721A9"/>
    <w:rsid w:val="00C72401"/>
    <w:rsid w:val="00C72539"/>
    <w:rsid w:val="00C72928"/>
    <w:rsid w:val="00C72AF1"/>
    <w:rsid w:val="00C72EF4"/>
    <w:rsid w:val="00C73188"/>
    <w:rsid w:val="00C73529"/>
    <w:rsid w:val="00C738ED"/>
    <w:rsid w:val="00C741E7"/>
    <w:rsid w:val="00C743A5"/>
    <w:rsid w:val="00C744FE"/>
    <w:rsid w:val="00C746FF"/>
    <w:rsid w:val="00C74A1C"/>
    <w:rsid w:val="00C74DFE"/>
    <w:rsid w:val="00C74F5B"/>
    <w:rsid w:val="00C75272"/>
    <w:rsid w:val="00C75599"/>
    <w:rsid w:val="00C75633"/>
    <w:rsid w:val="00C75D2F"/>
    <w:rsid w:val="00C761B1"/>
    <w:rsid w:val="00C76748"/>
    <w:rsid w:val="00C767BE"/>
    <w:rsid w:val="00C76828"/>
    <w:rsid w:val="00C76942"/>
    <w:rsid w:val="00C76A28"/>
    <w:rsid w:val="00C76E3C"/>
    <w:rsid w:val="00C76EEC"/>
    <w:rsid w:val="00C771C3"/>
    <w:rsid w:val="00C7758D"/>
    <w:rsid w:val="00C77715"/>
    <w:rsid w:val="00C80B17"/>
    <w:rsid w:val="00C80C49"/>
    <w:rsid w:val="00C80FE9"/>
    <w:rsid w:val="00C811DF"/>
    <w:rsid w:val="00C811EA"/>
    <w:rsid w:val="00C81381"/>
    <w:rsid w:val="00C814D0"/>
    <w:rsid w:val="00C81568"/>
    <w:rsid w:val="00C81575"/>
    <w:rsid w:val="00C816DC"/>
    <w:rsid w:val="00C81758"/>
    <w:rsid w:val="00C81977"/>
    <w:rsid w:val="00C81A3C"/>
    <w:rsid w:val="00C81CAF"/>
    <w:rsid w:val="00C82118"/>
    <w:rsid w:val="00C827FA"/>
    <w:rsid w:val="00C82CDB"/>
    <w:rsid w:val="00C82D0C"/>
    <w:rsid w:val="00C82EF4"/>
    <w:rsid w:val="00C83408"/>
    <w:rsid w:val="00C837FC"/>
    <w:rsid w:val="00C83932"/>
    <w:rsid w:val="00C83C82"/>
    <w:rsid w:val="00C83CDD"/>
    <w:rsid w:val="00C83FC1"/>
    <w:rsid w:val="00C84220"/>
    <w:rsid w:val="00C84581"/>
    <w:rsid w:val="00C84A61"/>
    <w:rsid w:val="00C84CB0"/>
    <w:rsid w:val="00C84E27"/>
    <w:rsid w:val="00C85196"/>
    <w:rsid w:val="00C858E2"/>
    <w:rsid w:val="00C85CD9"/>
    <w:rsid w:val="00C85F7C"/>
    <w:rsid w:val="00C86059"/>
    <w:rsid w:val="00C86126"/>
    <w:rsid w:val="00C86162"/>
    <w:rsid w:val="00C86374"/>
    <w:rsid w:val="00C86666"/>
    <w:rsid w:val="00C866AF"/>
    <w:rsid w:val="00C86713"/>
    <w:rsid w:val="00C8671F"/>
    <w:rsid w:val="00C86A87"/>
    <w:rsid w:val="00C875A6"/>
    <w:rsid w:val="00C87738"/>
    <w:rsid w:val="00C87A78"/>
    <w:rsid w:val="00C87AB5"/>
    <w:rsid w:val="00C87B7A"/>
    <w:rsid w:val="00C87C82"/>
    <w:rsid w:val="00C87EF2"/>
    <w:rsid w:val="00C9027A"/>
    <w:rsid w:val="00C90550"/>
    <w:rsid w:val="00C9068E"/>
    <w:rsid w:val="00C90AC3"/>
    <w:rsid w:val="00C90AE9"/>
    <w:rsid w:val="00C90C17"/>
    <w:rsid w:val="00C90F52"/>
    <w:rsid w:val="00C912F1"/>
    <w:rsid w:val="00C913F9"/>
    <w:rsid w:val="00C916DB"/>
    <w:rsid w:val="00C918A3"/>
    <w:rsid w:val="00C9190D"/>
    <w:rsid w:val="00C919FA"/>
    <w:rsid w:val="00C91A7A"/>
    <w:rsid w:val="00C91FDE"/>
    <w:rsid w:val="00C921C4"/>
    <w:rsid w:val="00C92213"/>
    <w:rsid w:val="00C92519"/>
    <w:rsid w:val="00C92A25"/>
    <w:rsid w:val="00C931BF"/>
    <w:rsid w:val="00C93259"/>
    <w:rsid w:val="00C9350C"/>
    <w:rsid w:val="00C93754"/>
    <w:rsid w:val="00C937B6"/>
    <w:rsid w:val="00C93814"/>
    <w:rsid w:val="00C93971"/>
    <w:rsid w:val="00C93A35"/>
    <w:rsid w:val="00C93C4B"/>
    <w:rsid w:val="00C93EF7"/>
    <w:rsid w:val="00C93F90"/>
    <w:rsid w:val="00C94420"/>
    <w:rsid w:val="00C94427"/>
    <w:rsid w:val="00C944AB"/>
    <w:rsid w:val="00C94DF1"/>
    <w:rsid w:val="00C95839"/>
    <w:rsid w:val="00C95B40"/>
    <w:rsid w:val="00C95F68"/>
    <w:rsid w:val="00C9600F"/>
    <w:rsid w:val="00C96580"/>
    <w:rsid w:val="00C969AF"/>
    <w:rsid w:val="00C97098"/>
    <w:rsid w:val="00C970E4"/>
    <w:rsid w:val="00C97ACB"/>
    <w:rsid w:val="00CA0125"/>
    <w:rsid w:val="00CA0482"/>
    <w:rsid w:val="00CA05B4"/>
    <w:rsid w:val="00CA0877"/>
    <w:rsid w:val="00CA0A9D"/>
    <w:rsid w:val="00CA0CBB"/>
    <w:rsid w:val="00CA1249"/>
    <w:rsid w:val="00CA129A"/>
    <w:rsid w:val="00CA12AD"/>
    <w:rsid w:val="00CA14E3"/>
    <w:rsid w:val="00CA1A1E"/>
    <w:rsid w:val="00CA1C71"/>
    <w:rsid w:val="00CA1ED8"/>
    <w:rsid w:val="00CA2363"/>
    <w:rsid w:val="00CA28F2"/>
    <w:rsid w:val="00CA2BB4"/>
    <w:rsid w:val="00CA2D92"/>
    <w:rsid w:val="00CA2E2F"/>
    <w:rsid w:val="00CA2E73"/>
    <w:rsid w:val="00CA2F55"/>
    <w:rsid w:val="00CA2F90"/>
    <w:rsid w:val="00CA3242"/>
    <w:rsid w:val="00CA3399"/>
    <w:rsid w:val="00CA34B8"/>
    <w:rsid w:val="00CA34CE"/>
    <w:rsid w:val="00CA3557"/>
    <w:rsid w:val="00CA36F6"/>
    <w:rsid w:val="00CA383E"/>
    <w:rsid w:val="00CA39F7"/>
    <w:rsid w:val="00CA448F"/>
    <w:rsid w:val="00CA4574"/>
    <w:rsid w:val="00CA464E"/>
    <w:rsid w:val="00CA4694"/>
    <w:rsid w:val="00CA5024"/>
    <w:rsid w:val="00CA53BC"/>
    <w:rsid w:val="00CA543F"/>
    <w:rsid w:val="00CA5741"/>
    <w:rsid w:val="00CA5B00"/>
    <w:rsid w:val="00CA5B24"/>
    <w:rsid w:val="00CA5C24"/>
    <w:rsid w:val="00CA5E19"/>
    <w:rsid w:val="00CA6095"/>
    <w:rsid w:val="00CA63BB"/>
    <w:rsid w:val="00CA64FD"/>
    <w:rsid w:val="00CA65E7"/>
    <w:rsid w:val="00CA69B5"/>
    <w:rsid w:val="00CA6A9B"/>
    <w:rsid w:val="00CA6B2D"/>
    <w:rsid w:val="00CA6C28"/>
    <w:rsid w:val="00CA6CF6"/>
    <w:rsid w:val="00CA79CD"/>
    <w:rsid w:val="00CA7F65"/>
    <w:rsid w:val="00CB0164"/>
    <w:rsid w:val="00CB01A7"/>
    <w:rsid w:val="00CB02DE"/>
    <w:rsid w:val="00CB0357"/>
    <w:rsid w:val="00CB098E"/>
    <w:rsid w:val="00CB0D0B"/>
    <w:rsid w:val="00CB0F7A"/>
    <w:rsid w:val="00CB1185"/>
    <w:rsid w:val="00CB1214"/>
    <w:rsid w:val="00CB181D"/>
    <w:rsid w:val="00CB1F63"/>
    <w:rsid w:val="00CB200C"/>
    <w:rsid w:val="00CB22FB"/>
    <w:rsid w:val="00CB2367"/>
    <w:rsid w:val="00CB251B"/>
    <w:rsid w:val="00CB2824"/>
    <w:rsid w:val="00CB2D18"/>
    <w:rsid w:val="00CB3226"/>
    <w:rsid w:val="00CB3431"/>
    <w:rsid w:val="00CB360B"/>
    <w:rsid w:val="00CB37EF"/>
    <w:rsid w:val="00CB3A0F"/>
    <w:rsid w:val="00CB3AAA"/>
    <w:rsid w:val="00CB3E73"/>
    <w:rsid w:val="00CB45E8"/>
    <w:rsid w:val="00CB4710"/>
    <w:rsid w:val="00CB4A05"/>
    <w:rsid w:val="00CB4B3D"/>
    <w:rsid w:val="00CB4D00"/>
    <w:rsid w:val="00CB4E5E"/>
    <w:rsid w:val="00CB4E9B"/>
    <w:rsid w:val="00CB4EFB"/>
    <w:rsid w:val="00CB541D"/>
    <w:rsid w:val="00CB556E"/>
    <w:rsid w:val="00CB59ED"/>
    <w:rsid w:val="00CB5A2D"/>
    <w:rsid w:val="00CB5AD9"/>
    <w:rsid w:val="00CB5B4B"/>
    <w:rsid w:val="00CB5DFF"/>
    <w:rsid w:val="00CB67DE"/>
    <w:rsid w:val="00CB6A6D"/>
    <w:rsid w:val="00CB7056"/>
    <w:rsid w:val="00CB7139"/>
    <w:rsid w:val="00CB7143"/>
    <w:rsid w:val="00CB7170"/>
    <w:rsid w:val="00CB718B"/>
    <w:rsid w:val="00CB72F6"/>
    <w:rsid w:val="00CB7963"/>
    <w:rsid w:val="00CB7AAF"/>
    <w:rsid w:val="00CB7C18"/>
    <w:rsid w:val="00CB7DB1"/>
    <w:rsid w:val="00CB7EDA"/>
    <w:rsid w:val="00CC00B1"/>
    <w:rsid w:val="00CC012D"/>
    <w:rsid w:val="00CC040E"/>
    <w:rsid w:val="00CC0564"/>
    <w:rsid w:val="00CC0919"/>
    <w:rsid w:val="00CC091E"/>
    <w:rsid w:val="00CC0B72"/>
    <w:rsid w:val="00CC1097"/>
    <w:rsid w:val="00CC111F"/>
    <w:rsid w:val="00CC174D"/>
    <w:rsid w:val="00CC17A0"/>
    <w:rsid w:val="00CC1ACD"/>
    <w:rsid w:val="00CC1B15"/>
    <w:rsid w:val="00CC1DAC"/>
    <w:rsid w:val="00CC2011"/>
    <w:rsid w:val="00CC211A"/>
    <w:rsid w:val="00CC21EC"/>
    <w:rsid w:val="00CC2303"/>
    <w:rsid w:val="00CC2806"/>
    <w:rsid w:val="00CC2840"/>
    <w:rsid w:val="00CC2926"/>
    <w:rsid w:val="00CC2A91"/>
    <w:rsid w:val="00CC2F6A"/>
    <w:rsid w:val="00CC31A2"/>
    <w:rsid w:val="00CC3351"/>
    <w:rsid w:val="00CC3A96"/>
    <w:rsid w:val="00CC3B10"/>
    <w:rsid w:val="00CC3C4B"/>
    <w:rsid w:val="00CC3EA0"/>
    <w:rsid w:val="00CC43C7"/>
    <w:rsid w:val="00CC4C67"/>
    <w:rsid w:val="00CC505A"/>
    <w:rsid w:val="00CC5114"/>
    <w:rsid w:val="00CC53A0"/>
    <w:rsid w:val="00CC56B6"/>
    <w:rsid w:val="00CC58A6"/>
    <w:rsid w:val="00CC5BC3"/>
    <w:rsid w:val="00CC5CE6"/>
    <w:rsid w:val="00CC6087"/>
    <w:rsid w:val="00CC61B3"/>
    <w:rsid w:val="00CC61E1"/>
    <w:rsid w:val="00CC6218"/>
    <w:rsid w:val="00CC677F"/>
    <w:rsid w:val="00CC68A0"/>
    <w:rsid w:val="00CC6A34"/>
    <w:rsid w:val="00CC6A4C"/>
    <w:rsid w:val="00CC7061"/>
    <w:rsid w:val="00CC709D"/>
    <w:rsid w:val="00CC723A"/>
    <w:rsid w:val="00CC74C6"/>
    <w:rsid w:val="00CC7A6D"/>
    <w:rsid w:val="00CC7B45"/>
    <w:rsid w:val="00CD0696"/>
    <w:rsid w:val="00CD074F"/>
    <w:rsid w:val="00CD096D"/>
    <w:rsid w:val="00CD0B88"/>
    <w:rsid w:val="00CD0BA8"/>
    <w:rsid w:val="00CD0F54"/>
    <w:rsid w:val="00CD1188"/>
    <w:rsid w:val="00CD1333"/>
    <w:rsid w:val="00CD1393"/>
    <w:rsid w:val="00CD1641"/>
    <w:rsid w:val="00CD187D"/>
    <w:rsid w:val="00CD19FA"/>
    <w:rsid w:val="00CD1ACA"/>
    <w:rsid w:val="00CD1BD7"/>
    <w:rsid w:val="00CD1C7B"/>
    <w:rsid w:val="00CD1E6C"/>
    <w:rsid w:val="00CD1EEE"/>
    <w:rsid w:val="00CD1F72"/>
    <w:rsid w:val="00CD2110"/>
    <w:rsid w:val="00CD2303"/>
    <w:rsid w:val="00CD2421"/>
    <w:rsid w:val="00CD269D"/>
    <w:rsid w:val="00CD27A0"/>
    <w:rsid w:val="00CD2877"/>
    <w:rsid w:val="00CD2B16"/>
    <w:rsid w:val="00CD2ED1"/>
    <w:rsid w:val="00CD2F2E"/>
    <w:rsid w:val="00CD2F5B"/>
    <w:rsid w:val="00CD3090"/>
    <w:rsid w:val="00CD30B8"/>
    <w:rsid w:val="00CD337B"/>
    <w:rsid w:val="00CD3549"/>
    <w:rsid w:val="00CD3DB5"/>
    <w:rsid w:val="00CD3FAA"/>
    <w:rsid w:val="00CD48EE"/>
    <w:rsid w:val="00CD5005"/>
    <w:rsid w:val="00CD5053"/>
    <w:rsid w:val="00CD511D"/>
    <w:rsid w:val="00CD51ED"/>
    <w:rsid w:val="00CD548E"/>
    <w:rsid w:val="00CD5DBA"/>
    <w:rsid w:val="00CD6197"/>
    <w:rsid w:val="00CD6A09"/>
    <w:rsid w:val="00CD6AEF"/>
    <w:rsid w:val="00CD6EED"/>
    <w:rsid w:val="00CD7112"/>
    <w:rsid w:val="00CD74DC"/>
    <w:rsid w:val="00CD7EAE"/>
    <w:rsid w:val="00CD7EDF"/>
    <w:rsid w:val="00CD7F1B"/>
    <w:rsid w:val="00CE0424"/>
    <w:rsid w:val="00CE04CB"/>
    <w:rsid w:val="00CE0698"/>
    <w:rsid w:val="00CE095A"/>
    <w:rsid w:val="00CE0ED6"/>
    <w:rsid w:val="00CE100D"/>
    <w:rsid w:val="00CE13F3"/>
    <w:rsid w:val="00CE15F3"/>
    <w:rsid w:val="00CE183C"/>
    <w:rsid w:val="00CE1901"/>
    <w:rsid w:val="00CE19AD"/>
    <w:rsid w:val="00CE2014"/>
    <w:rsid w:val="00CE2127"/>
    <w:rsid w:val="00CE27CB"/>
    <w:rsid w:val="00CE2A55"/>
    <w:rsid w:val="00CE2A60"/>
    <w:rsid w:val="00CE2B74"/>
    <w:rsid w:val="00CE2C51"/>
    <w:rsid w:val="00CE2CAA"/>
    <w:rsid w:val="00CE2E1B"/>
    <w:rsid w:val="00CE2F92"/>
    <w:rsid w:val="00CE3195"/>
    <w:rsid w:val="00CE31D3"/>
    <w:rsid w:val="00CE36A2"/>
    <w:rsid w:val="00CE3E11"/>
    <w:rsid w:val="00CE3ECF"/>
    <w:rsid w:val="00CE429D"/>
    <w:rsid w:val="00CE433B"/>
    <w:rsid w:val="00CE4397"/>
    <w:rsid w:val="00CE4421"/>
    <w:rsid w:val="00CE498E"/>
    <w:rsid w:val="00CE4BAE"/>
    <w:rsid w:val="00CE4C45"/>
    <w:rsid w:val="00CE4E74"/>
    <w:rsid w:val="00CE4FC1"/>
    <w:rsid w:val="00CE514E"/>
    <w:rsid w:val="00CE5234"/>
    <w:rsid w:val="00CE52D6"/>
    <w:rsid w:val="00CE55AB"/>
    <w:rsid w:val="00CE562C"/>
    <w:rsid w:val="00CE58B2"/>
    <w:rsid w:val="00CE5AD4"/>
    <w:rsid w:val="00CE5BF9"/>
    <w:rsid w:val="00CE61CA"/>
    <w:rsid w:val="00CE6389"/>
    <w:rsid w:val="00CE68DB"/>
    <w:rsid w:val="00CE69AA"/>
    <w:rsid w:val="00CE70D1"/>
    <w:rsid w:val="00CE7561"/>
    <w:rsid w:val="00CE78D5"/>
    <w:rsid w:val="00CE7A23"/>
    <w:rsid w:val="00CF00B2"/>
    <w:rsid w:val="00CF00F8"/>
    <w:rsid w:val="00CF05B1"/>
    <w:rsid w:val="00CF05C0"/>
    <w:rsid w:val="00CF0BBB"/>
    <w:rsid w:val="00CF0C43"/>
    <w:rsid w:val="00CF0F1B"/>
    <w:rsid w:val="00CF1037"/>
    <w:rsid w:val="00CF108A"/>
    <w:rsid w:val="00CF1354"/>
    <w:rsid w:val="00CF1516"/>
    <w:rsid w:val="00CF1966"/>
    <w:rsid w:val="00CF2187"/>
    <w:rsid w:val="00CF261A"/>
    <w:rsid w:val="00CF2734"/>
    <w:rsid w:val="00CF28C0"/>
    <w:rsid w:val="00CF2B45"/>
    <w:rsid w:val="00CF2F44"/>
    <w:rsid w:val="00CF2FE3"/>
    <w:rsid w:val="00CF3167"/>
    <w:rsid w:val="00CF3223"/>
    <w:rsid w:val="00CF3B1F"/>
    <w:rsid w:val="00CF3BF6"/>
    <w:rsid w:val="00CF4073"/>
    <w:rsid w:val="00CF44C4"/>
    <w:rsid w:val="00CF4771"/>
    <w:rsid w:val="00CF4A2D"/>
    <w:rsid w:val="00CF4E6E"/>
    <w:rsid w:val="00CF4F54"/>
    <w:rsid w:val="00CF5398"/>
    <w:rsid w:val="00CF53DD"/>
    <w:rsid w:val="00CF5499"/>
    <w:rsid w:val="00CF571B"/>
    <w:rsid w:val="00CF6067"/>
    <w:rsid w:val="00CF6118"/>
    <w:rsid w:val="00CF61DC"/>
    <w:rsid w:val="00CF625B"/>
    <w:rsid w:val="00CF679C"/>
    <w:rsid w:val="00CF687E"/>
    <w:rsid w:val="00CF69AF"/>
    <w:rsid w:val="00CF6A8D"/>
    <w:rsid w:val="00CF6ABB"/>
    <w:rsid w:val="00CF6D63"/>
    <w:rsid w:val="00CF6F2C"/>
    <w:rsid w:val="00CF7247"/>
    <w:rsid w:val="00CF77E2"/>
    <w:rsid w:val="00CF79E2"/>
    <w:rsid w:val="00CF7F82"/>
    <w:rsid w:val="00D0006B"/>
    <w:rsid w:val="00D0015D"/>
    <w:rsid w:val="00D00367"/>
    <w:rsid w:val="00D003E3"/>
    <w:rsid w:val="00D00739"/>
    <w:rsid w:val="00D007B6"/>
    <w:rsid w:val="00D0092A"/>
    <w:rsid w:val="00D009C4"/>
    <w:rsid w:val="00D00B85"/>
    <w:rsid w:val="00D00BA3"/>
    <w:rsid w:val="00D00BAD"/>
    <w:rsid w:val="00D00DD5"/>
    <w:rsid w:val="00D00F8D"/>
    <w:rsid w:val="00D010A3"/>
    <w:rsid w:val="00D011CF"/>
    <w:rsid w:val="00D0138F"/>
    <w:rsid w:val="00D015DB"/>
    <w:rsid w:val="00D019EA"/>
    <w:rsid w:val="00D01E2A"/>
    <w:rsid w:val="00D01EA7"/>
    <w:rsid w:val="00D0285C"/>
    <w:rsid w:val="00D02B2E"/>
    <w:rsid w:val="00D02EEF"/>
    <w:rsid w:val="00D0315D"/>
    <w:rsid w:val="00D03282"/>
    <w:rsid w:val="00D033E2"/>
    <w:rsid w:val="00D033F0"/>
    <w:rsid w:val="00D0349B"/>
    <w:rsid w:val="00D0355D"/>
    <w:rsid w:val="00D035DF"/>
    <w:rsid w:val="00D03845"/>
    <w:rsid w:val="00D038B5"/>
    <w:rsid w:val="00D03A84"/>
    <w:rsid w:val="00D03B35"/>
    <w:rsid w:val="00D041ED"/>
    <w:rsid w:val="00D045C6"/>
    <w:rsid w:val="00D046C1"/>
    <w:rsid w:val="00D04A53"/>
    <w:rsid w:val="00D04BDA"/>
    <w:rsid w:val="00D04DDB"/>
    <w:rsid w:val="00D053BC"/>
    <w:rsid w:val="00D056B2"/>
    <w:rsid w:val="00D05CA3"/>
    <w:rsid w:val="00D06312"/>
    <w:rsid w:val="00D069BD"/>
    <w:rsid w:val="00D06B14"/>
    <w:rsid w:val="00D06DB8"/>
    <w:rsid w:val="00D071C1"/>
    <w:rsid w:val="00D074BD"/>
    <w:rsid w:val="00D0773A"/>
    <w:rsid w:val="00D07AA5"/>
    <w:rsid w:val="00D1004D"/>
    <w:rsid w:val="00D10249"/>
    <w:rsid w:val="00D103A9"/>
    <w:rsid w:val="00D10601"/>
    <w:rsid w:val="00D107F3"/>
    <w:rsid w:val="00D1090E"/>
    <w:rsid w:val="00D10BDC"/>
    <w:rsid w:val="00D10CCE"/>
    <w:rsid w:val="00D10DCF"/>
    <w:rsid w:val="00D1158F"/>
    <w:rsid w:val="00D115C3"/>
    <w:rsid w:val="00D11897"/>
    <w:rsid w:val="00D119D3"/>
    <w:rsid w:val="00D11ADB"/>
    <w:rsid w:val="00D11C0E"/>
    <w:rsid w:val="00D122F5"/>
    <w:rsid w:val="00D1276A"/>
    <w:rsid w:val="00D12840"/>
    <w:rsid w:val="00D12D8A"/>
    <w:rsid w:val="00D13135"/>
    <w:rsid w:val="00D131FB"/>
    <w:rsid w:val="00D1339A"/>
    <w:rsid w:val="00D134CC"/>
    <w:rsid w:val="00D1386E"/>
    <w:rsid w:val="00D13A13"/>
    <w:rsid w:val="00D13D9A"/>
    <w:rsid w:val="00D13E4E"/>
    <w:rsid w:val="00D14240"/>
    <w:rsid w:val="00D142C8"/>
    <w:rsid w:val="00D143AA"/>
    <w:rsid w:val="00D14994"/>
    <w:rsid w:val="00D154CB"/>
    <w:rsid w:val="00D15936"/>
    <w:rsid w:val="00D15B43"/>
    <w:rsid w:val="00D15B49"/>
    <w:rsid w:val="00D15C0F"/>
    <w:rsid w:val="00D15D4E"/>
    <w:rsid w:val="00D15F13"/>
    <w:rsid w:val="00D1662C"/>
    <w:rsid w:val="00D166CF"/>
    <w:rsid w:val="00D167DC"/>
    <w:rsid w:val="00D16DFB"/>
    <w:rsid w:val="00D16F73"/>
    <w:rsid w:val="00D16FA1"/>
    <w:rsid w:val="00D170EC"/>
    <w:rsid w:val="00D1761E"/>
    <w:rsid w:val="00D17767"/>
    <w:rsid w:val="00D178B2"/>
    <w:rsid w:val="00D178FC"/>
    <w:rsid w:val="00D17B23"/>
    <w:rsid w:val="00D17B2D"/>
    <w:rsid w:val="00D17C6E"/>
    <w:rsid w:val="00D17CFD"/>
    <w:rsid w:val="00D17E9E"/>
    <w:rsid w:val="00D17F1C"/>
    <w:rsid w:val="00D200C6"/>
    <w:rsid w:val="00D203D9"/>
    <w:rsid w:val="00D2042A"/>
    <w:rsid w:val="00D20DF8"/>
    <w:rsid w:val="00D2100E"/>
    <w:rsid w:val="00D21274"/>
    <w:rsid w:val="00D214FF"/>
    <w:rsid w:val="00D217DD"/>
    <w:rsid w:val="00D21F8E"/>
    <w:rsid w:val="00D21FA4"/>
    <w:rsid w:val="00D22808"/>
    <w:rsid w:val="00D22A60"/>
    <w:rsid w:val="00D22F3B"/>
    <w:rsid w:val="00D23178"/>
    <w:rsid w:val="00D23478"/>
    <w:rsid w:val="00D23495"/>
    <w:rsid w:val="00D23599"/>
    <w:rsid w:val="00D239A7"/>
    <w:rsid w:val="00D23F47"/>
    <w:rsid w:val="00D24934"/>
    <w:rsid w:val="00D24D1D"/>
    <w:rsid w:val="00D2503A"/>
    <w:rsid w:val="00D2503B"/>
    <w:rsid w:val="00D2513B"/>
    <w:rsid w:val="00D25158"/>
    <w:rsid w:val="00D2520F"/>
    <w:rsid w:val="00D25246"/>
    <w:rsid w:val="00D25572"/>
    <w:rsid w:val="00D255DA"/>
    <w:rsid w:val="00D2569B"/>
    <w:rsid w:val="00D259C9"/>
    <w:rsid w:val="00D25CF4"/>
    <w:rsid w:val="00D25F19"/>
    <w:rsid w:val="00D25F77"/>
    <w:rsid w:val="00D260EA"/>
    <w:rsid w:val="00D26149"/>
    <w:rsid w:val="00D26259"/>
    <w:rsid w:val="00D263B5"/>
    <w:rsid w:val="00D2657F"/>
    <w:rsid w:val="00D26CE6"/>
    <w:rsid w:val="00D273A3"/>
    <w:rsid w:val="00D27551"/>
    <w:rsid w:val="00D27D12"/>
    <w:rsid w:val="00D30030"/>
    <w:rsid w:val="00D3024C"/>
    <w:rsid w:val="00D303C7"/>
    <w:rsid w:val="00D30C3A"/>
    <w:rsid w:val="00D30D77"/>
    <w:rsid w:val="00D30DB3"/>
    <w:rsid w:val="00D317CB"/>
    <w:rsid w:val="00D317CF"/>
    <w:rsid w:val="00D31BB9"/>
    <w:rsid w:val="00D31EBB"/>
    <w:rsid w:val="00D320B7"/>
    <w:rsid w:val="00D32641"/>
    <w:rsid w:val="00D32653"/>
    <w:rsid w:val="00D327D9"/>
    <w:rsid w:val="00D32A04"/>
    <w:rsid w:val="00D32A7F"/>
    <w:rsid w:val="00D32BCA"/>
    <w:rsid w:val="00D32DB3"/>
    <w:rsid w:val="00D3330E"/>
    <w:rsid w:val="00D335D9"/>
    <w:rsid w:val="00D3380B"/>
    <w:rsid w:val="00D33850"/>
    <w:rsid w:val="00D338AB"/>
    <w:rsid w:val="00D33934"/>
    <w:rsid w:val="00D339D4"/>
    <w:rsid w:val="00D33F88"/>
    <w:rsid w:val="00D33FF0"/>
    <w:rsid w:val="00D3451E"/>
    <w:rsid w:val="00D3468E"/>
    <w:rsid w:val="00D34AA9"/>
    <w:rsid w:val="00D34F84"/>
    <w:rsid w:val="00D35417"/>
    <w:rsid w:val="00D355F0"/>
    <w:rsid w:val="00D35A2C"/>
    <w:rsid w:val="00D35B22"/>
    <w:rsid w:val="00D363C7"/>
    <w:rsid w:val="00D3640D"/>
    <w:rsid w:val="00D364BC"/>
    <w:rsid w:val="00D364EE"/>
    <w:rsid w:val="00D36827"/>
    <w:rsid w:val="00D36E71"/>
    <w:rsid w:val="00D36F9B"/>
    <w:rsid w:val="00D37392"/>
    <w:rsid w:val="00D374C5"/>
    <w:rsid w:val="00D3791F"/>
    <w:rsid w:val="00D37B45"/>
    <w:rsid w:val="00D37B89"/>
    <w:rsid w:val="00D37C41"/>
    <w:rsid w:val="00D37D87"/>
    <w:rsid w:val="00D37DE6"/>
    <w:rsid w:val="00D401F3"/>
    <w:rsid w:val="00D4039B"/>
    <w:rsid w:val="00D40567"/>
    <w:rsid w:val="00D4099A"/>
    <w:rsid w:val="00D40B33"/>
    <w:rsid w:val="00D40B9B"/>
    <w:rsid w:val="00D40FF4"/>
    <w:rsid w:val="00D41583"/>
    <w:rsid w:val="00D41682"/>
    <w:rsid w:val="00D41C4A"/>
    <w:rsid w:val="00D41E83"/>
    <w:rsid w:val="00D4259D"/>
    <w:rsid w:val="00D4289A"/>
    <w:rsid w:val="00D43086"/>
    <w:rsid w:val="00D4318F"/>
    <w:rsid w:val="00D431A9"/>
    <w:rsid w:val="00D43305"/>
    <w:rsid w:val="00D43377"/>
    <w:rsid w:val="00D43631"/>
    <w:rsid w:val="00D436F3"/>
    <w:rsid w:val="00D437F2"/>
    <w:rsid w:val="00D43853"/>
    <w:rsid w:val="00D438BF"/>
    <w:rsid w:val="00D43E92"/>
    <w:rsid w:val="00D43EE4"/>
    <w:rsid w:val="00D440DC"/>
    <w:rsid w:val="00D440F8"/>
    <w:rsid w:val="00D44190"/>
    <w:rsid w:val="00D44322"/>
    <w:rsid w:val="00D449BD"/>
    <w:rsid w:val="00D44A2E"/>
    <w:rsid w:val="00D44A96"/>
    <w:rsid w:val="00D44ABF"/>
    <w:rsid w:val="00D44B12"/>
    <w:rsid w:val="00D44BFC"/>
    <w:rsid w:val="00D44E86"/>
    <w:rsid w:val="00D44F48"/>
    <w:rsid w:val="00D456DD"/>
    <w:rsid w:val="00D45B62"/>
    <w:rsid w:val="00D45C13"/>
    <w:rsid w:val="00D4612C"/>
    <w:rsid w:val="00D46246"/>
    <w:rsid w:val="00D46320"/>
    <w:rsid w:val="00D46A98"/>
    <w:rsid w:val="00D46CF5"/>
    <w:rsid w:val="00D4758C"/>
    <w:rsid w:val="00D47A0F"/>
    <w:rsid w:val="00D47F55"/>
    <w:rsid w:val="00D501B6"/>
    <w:rsid w:val="00D5025E"/>
    <w:rsid w:val="00D50325"/>
    <w:rsid w:val="00D50566"/>
    <w:rsid w:val="00D50628"/>
    <w:rsid w:val="00D50745"/>
    <w:rsid w:val="00D50975"/>
    <w:rsid w:val="00D50B1E"/>
    <w:rsid w:val="00D50E25"/>
    <w:rsid w:val="00D517E3"/>
    <w:rsid w:val="00D51A34"/>
    <w:rsid w:val="00D51C0A"/>
    <w:rsid w:val="00D51CDE"/>
    <w:rsid w:val="00D5213D"/>
    <w:rsid w:val="00D522FC"/>
    <w:rsid w:val="00D52C3C"/>
    <w:rsid w:val="00D538DB"/>
    <w:rsid w:val="00D53A20"/>
    <w:rsid w:val="00D53AF6"/>
    <w:rsid w:val="00D53CD3"/>
    <w:rsid w:val="00D5415D"/>
    <w:rsid w:val="00D541CF"/>
    <w:rsid w:val="00D5432A"/>
    <w:rsid w:val="00D545D2"/>
    <w:rsid w:val="00D545FB"/>
    <w:rsid w:val="00D546FF"/>
    <w:rsid w:val="00D54828"/>
    <w:rsid w:val="00D54D4F"/>
    <w:rsid w:val="00D54DC8"/>
    <w:rsid w:val="00D55900"/>
    <w:rsid w:val="00D55AD5"/>
    <w:rsid w:val="00D5645C"/>
    <w:rsid w:val="00D564E2"/>
    <w:rsid w:val="00D564F2"/>
    <w:rsid w:val="00D565E8"/>
    <w:rsid w:val="00D56655"/>
    <w:rsid w:val="00D567DB"/>
    <w:rsid w:val="00D56A3F"/>
    <w:rsid w:val="00D56B07"/>
    <w:rsid w:val="00D56CC3"/>
    <w:rsid w:val="00D56E8E"/>
    <w:rsid w:val="00D56FBE"/>
    <w:rsid w:val="00D5732A"/>
    <w:rsid w:val="00D5733A"/>
    <w:rsid w:val="00D576CA"/>
    <w:rsid w:val="00D577A9"/>
    <w:rsid w:val="00D57A0A"/>
    <w:rsid w:val="00D57B22"/>
    <w:rsid w:val="00D57BF6"/>
    <w:rsid w:val="00D57E9D"/>
    <w:rsid w:val="00D57F2D"/>
    <w:rsid w:val="00D57F70"/>
    <w:rsid w:val="00D60001"/>
    <w:rsid w:val="00D6057B"/>
    <w:rsid w:val="00D608A8"/>
    <w:rsid w:val="00D60CD7"/>
    <w:rsid w:val="00D60D20"/>
    <w:rsid w:val="00D60FC8"/>
    <w:rsid w:val="00D610F4"/>
    <w:rsid w:val="00D612B6"/>
    <w:rsid w:val="00D612BA"/>
    <w:rsid w:val="00D6131F"/>
    <w:rsid w:val="00D61751"/>
    <w:rsid w:val="00D61AF5"/>
    <w:rsid w:val="00D61B2D"/>
    <w:rsid w:val="00D61F4A"/>
    <w:rsid w:val="00D62173"/>
    <w:rsid w:val="00D6248E"/>
    <w:rsid w:val="00D627C4"/>
    <w:rsid w:val="00D62F07"/>
    <w:rsid w:val="00D632B0"/>
    <w:rsid w:val="00D6353C"/>
    <w:rsid w:val="00D64290"/>
    <w:rsid w:val="00D64413"/>
    <w:rsid w:val="00D64A5E"/>
    <w:rsid w:val="00D64D23"/>
    <w:rsid w:val="00D64FB2"/>
    <w:rsid w:val="00D652B5"/>
    <w:rsid w:val="00D65987"/>
    <w:rsid w:val="00D65E2D"/>
    <w:rsid w:val="00D66155"/>
    <w:rsid w:val="00D669A7"/>
    <w:rsid w:val="00D66F4A"/>
    <w:rsid w:val="00D67749"/>
    <w:rsid w:val="00D6774B"/>
    <w:rsid w:val="00D67767"/>
    <w:rsid w:val="00D67D76"/>
    <w:rsid w:val="00D67D8E"/>
    <w:rsid w:val="00D67F2A"/>
    <w:rsid w:val="00D67FAC"/>
    <w:rsid w:val="00D70444"/>
    <w:rsid w:val="00D70557"/>
    <w:rsid w:val="00D708B0"/>
    <w:rsid w:val="00D71024"/>
    <w:rsid w:val="00D7109B"/>
    <w:rsid w:val="00D71145"/>
    <w:rsid w:val="00D7154C"/>
    <w:rsid w:val="00D71623"/>
    <w:rsid w:val="00D716D2"/>
    <w:rsid w:val="00D719D6"/>
    <w:rsid w:val="00D71AEF"/>
    <w:rsid w:val="00D722C5"/>
    <w:rsid w:val="00D7240A"/>
    <w:rsid w:val="00D72B5B"/>
    <w:rsid w:val="00D72BFB"/>
    <w:rsid w:val="00D72F27"/>
    <w:rsid w:val="00D73203"/>
    <w:rsid w:val="00D73302"/>
    <w:rsid w:val="00D7399E"/>
    <w:rsid w:val="00D739AC"/>
    <w:rsid w:val="00D73B45"/>
    <w:rsid w:val="00D73FAA"/>
    <w:rsid w:val="00D742A3"/>
    <w:rsid w:val="00D74546"/>
    <w:rsid w:val="00D74BB2"/>
    <w:rsid w:val="00D74C47"/>
    <w:rsid w:val="00D74D10"/>
    <w:rsid w:val="00D74EA7"/>
    <w:rsid w:val="00D74F34"/>
    <w:rsid w:val="00D7544F"/>
    <w:rsid w:val="00D75527"/>
    <w:rsid w:val="00D75554"/>
    <w:rsid w:val="00D757FC"/>
    <w:rsid w:val="00D75A86"/>
    <w:rsid w:val="00D764EC"/>
    <w:rsid w:val="00D765D9"/>
    <w:rsid w:val="00D76B72"/>
    <w:rsid w:val="00D76BC0"/>
    <w:rsid w:val="00D76D03"/>
    <w:rsid w:val="00D76D8E"/>
    <w:rsid w:val="00D76E6E"/>
    <w:rsid w:val="00D7704A"/>
    <w:rsid w:val="00D776FD"/>
    <w:rsid w:val="00D777A4"/>
    <w:rsid w:val="00D7791D"/>
    <w:rsid w:val="00D77973"/>
    <w:rsid w:val="00D77A22"/>
    <w:rsid w:val="00D77AF8"/>
    <w:rsid w:val="00D77B1D"/>
    <w:rsid w:val="00D77C1C"/>
    <w:rsid w:val="00D8021F"/>
    <w:rsid w:val="00D80330"/>
    <w:rsid w:val="00D80383"/>
    <w:rsid w:val="00D80398"/>
    <w:rsid w:val="00D80535"/>
    <w:rsid w:val="00D80C3A"/>
    <w:rsid w:val="00D80F9C"/>
    <w:rsid w:val="00D81304"/>
    <w:rsid w:val="00D8150F"/>
    <w:rsid w:val="00D819C7"/>
    <w:rsid w:val="00D81B3C"/>
    <w:rsid w:val="00D81F48"/>
    <w:rsid w:val="00D821A2"/>
    <w:rsid w:val="00D823C6"/>
    <w:rsid w:val="00D82476"/>
    <w:rsid w:val="00D82584"/>
    <w:rsid w:val="00D82D06"/>
    <w:rsid w:val="00D8307C"/>
    <w:rsid w:val="00D8327F"/>
    <w:rsid w:val="00D835D4"/>
    <w:rsid w:val="00D8366E"/>
    <w:rsid w:val="00D8376A"/>
    <w:rsid w:val="00D83D18"/>
    <w:rsid w:val="00D83D47"/>
    <w:rsid w:val="00D83F33"/>
    <w:rsid w:val="00D84034"/>
    <w:rsid w:val="00D84125"/>
    <w:rsid w:val="00D8415C"/>
    <w:rsid w:val="00D84472"/>
    <w:rsid w:val="00D849F6"/>
    <w:rsid w:val="00D84B2F"/>
    <w:rsid w:val="00D84BF3"/>
    <w:rsid w:val="00D84FF5"/>
    <w:rsid w:val="00D85087"/>
    <w:rsid w:val="00D850B4"/>
    <w:rsid w:val="00D85493"/>
    <w:rsid w:val="00D856F1"/>
    <w:rsid w:val="00D857B8"/>
    <w:rsid w:val="00D86310"/>
    <w:rsid w:val="00D863C5"/>
    <w:rsid w:val="00D864A7"/>
    <w:rsid w:val="00D8661B"/>
    <w:rsid w:val="00D867A6"/>
    <w:rsid w:val="00D86CA3"/>
    <w:rsid w:val="00D86CF3"/>
    <w:rsid w:val="00D87079"/>
    <w:rsid w:val="00D871CE"/>
    <w:rsid w:val="00D87202"/>
    <w:rsid w:val="00D8750C"/>
    <w:rsid w:val="00D87965"/>
    <w:rsid w:val="00D87FEA"/>
    <w:rsid w:val="00D9027F"/>
    <w:rsid w:val="00D90346"/>
    <w:rsid w:val="00D91693"/>
    <w:rsid w:val="00D916B0"/>
    <w:rsid w:val="00D91782"/>
    <w:rsid w:val="00D9179D"/>
    <w:rsid w:val="00D9196D"/>
    <w:rsid w:val="00D919E7"/>
    <w:rsid w:val="00D91AF8"/>
    <w:rsid w:val="00D91BB1"/>
    <w:rsid w:val="00D91D92"/>
    <w:rsid w:val="00D91F42"/>
    <w:rsid w:val="00D92167"/>
    <w:rsid w:val="00D92697"/>
    <w:rsid w:val="00D9294B"/>
    <w:rsid w:val="00D92982"/>
    <w:rsid w:val="00D92C59"/>
    <w:rsid w:val="00D92EDA"/>
    <w:rsid w:val="00D93071"/>
    <w:rsid w:val="00D932AE"/>
    <w:rsid w:val="00D9357A"/>
    <w:rsid w:val="00D93A29"/>
    <w:rsid w:val="00D93EDB"/>
    <w:rsid w:val="00D93F0D"/>
    <w:rsid w:val="00D93FA3"/>
    <w:rsid w:val="00D940DD"/>
    <w:rsid w:val="00D94239"/>
    <w:rsid w:val="00D9448F"/>
    <w:rsid w:val="00D9450A"/>
    <w:rsid w:val="00D9456D"/>
    <w:rsid w:val="00D94904"/>
    <w:rsid w:val="00D94B6C"/>
    <w:rsid w:val="00D94CA7"/>
    <w:rsid w:val="00D94FA3"/>
    <w:rsid w:val="00D95415"/>
    <w:rsid w:val="00D95520"/>
    <w:rsid w:val="00D9563E"/>
    <w:rsid w:val="00D95E26"/>
    <w:rsid w:val="00D95E3E"/>
    <w:rsid w:val="00D9663D"/>
    <w:rsid w:val="00D966F5"/>
    <w:rsid w:val="00D96A3F"/>
    <w:rsid w:val="00D9757D"/>
    <w:rsid w:val="00D97980"/>
    <w:rsid w:val="00D97D06"/>
    <w:rsid w:val="00D97DC2"/>
    <w:rsid w:val="00DA05BF"/>
    <w:rsid w:val="00DA07C4"/>
    <w:rsid w:val="00DA09DE"/>
    <w:rsid w:val="00DA0EA3"/>
    <w:rsid w:val="00DA1977"/>
    <w:rsid w:val="00DA1A48"/>
    <w:rsid w:val="00DA1D11"/>
    <w:rsid w:val="00DA1E98"/>
    <w:rsid w:val="00DA1EEE"/>
    <w:rsid w:val="00DA2439"/>
    <w:rsid w:val="00DA254A"/>
    <w:rsid w:val="00DA2780"/>
    <w:rsid w:val="00DA2C7B"/>
    <w:rsid w:val="00DA2D7E"/>
    <w:rsid w:val="00DA2F1D"/>
    <w:rsid w:val="00DA305E"/>
    <w:rsid w:val="00DA31F3"/>
    <w:rsid w:val="00DA32A7"/>
    <w:rsid w:val="00DA32DB"/>
    <w:rsid w:val="00DA37D3"/>
    <w:rsid w:val="00DA3956"/>
    <w:rsid w:val="00DA3B20"/>
    <w:rsid w:val="00DA3E80"/>
    <w:rsid w:val="00DA4062"/>
    <w:rsid w:val="00DA469E"/>
    <w:rsid w:val="00DA4BF1"/>
    <w:rsid w:val="00DA506F"/>
    <w:rsid w:val="00DA540C"/>
    <w:rsid w:val="00DA5417"/>
    <w:rsid w:val="00DA5667"/>
    <w:rsid w:val="00DA56E8"/>
    <w:rsid w:val="00DA5811"/>
    <w:rsid w:val="00DA5B7E"/>
    <w:rsid w:val="00DA5D14"/>
    <w:rsid w:val="00DA604C"/>
    <w:rsid w:val="00DA6181"/>
    <w:rsid w:val="00DA6499"/>
    <w:rsid w:val="00DA6915"/>
    <w:rsid w:val="00DA697E"/>
    <w:rsid w:val="00DA698A"/>
    <w:rsid w:val="00DA774F"/>
    <w:rsid w:val="00DA7773"/>
    <w:rsid w:val="00DA7A72"/>
    <w:rsid w:val="00DA7BFF"/>
    <w:rsid w:val="00DA7F0B"/>
    <w:rsid w:val="00DB06D7"/>
    <w:rsid w:val="00DB0719"/>
    <w:rsid w:val="00DB0726"/>
    <w:rsid w:val="00DB0765"/>
    <w:rsid w:val="00DB083A"/>
    <w:rsid w:val="00DB0951"/>
    <w:rsid w:val="00DB0A9F"/>
    <w:rsid w:val="00DB1088"/>
    <w:rsid w:val="00DB1723"/>
    <w:rsid w:val="00DB1765"/>
    <w:rsid w:val="00DB19E4"/>
    <w:rsid w:val="00DB1C9B"/>
    <w:rsid w:val="00DB20D7"/>
    <w:rsid w:val="00DB2143"/>
    <w:rsid w:val="00DB24A4"/>
    <w:rsid w:val="00DB2786"/>
    <w:rsid w:val="00DB2891"/>
    <w:rsid w:val="00DB28E7"/>
    <w:rsid w:val="00DB2E49"/>
    <w:rsid w:val="00DB305C"/>
    <w:rsid w:val="00DB3174"/>
    <w:rsid w:val="00DB34CC"/>
    <w:rsid w:val="00DB34FB"/>
    <w:rsid w:val="00DB377D"/>
    <w:rsid w:val="00DB37F1"/>
    <w:rsid w:val="00DB3F8B"/>
    <w:rsid w:val="00DB46BB"/>
    <w:rsid w:val="00DB483F"/>
    <w:rsid w:val="00DB4C32"/>
    <w:rsid w:val="00DB4C53"/>
    <w:rsid w:val="00DB505F"/>
    <w:rsid w:val="00DB50B8"/>
    <w:rsid w:val="00DB527E"/>
    <w:rsid w:val="00DB53DC"/>
    <w:rsid w:val="00DB604C"/>
    <w:rsid w:val="00DB699C"/>
    <w:rsid w:val="00DB70DA"/>
    <w:rsid w:val="00DB7178"/>
    <w:rsid w:val="00DB7471"/>
    <w:rsid w:val="00DB76C9"/>
    <w:rsid w:val="00DB7F51"/>
    <w:rsid w:val="00DC004F"/>
    <w:rsid w:val="00DC048E"/>
    <w:rsid w:val="00DC051F"/>
    <w:rsid w:val="00DC0AA8"/>
    <w:rsid w:val="00DC0BBA"/>
    <w:rsid w:val="00DC0E2B"/>
    <w:rsid w:val="00DC0E58"/>
    <w:rsid w:val="00DC0E8D"/>
    <w:rsid w:val="00DC149F"/>
    <w:rsid w:val="00DC1582"/>
    <w:rsid w:val="00DC18AF"/>
    <w:rsid w:val="00DC18CE"/>
    <w:rsid w:val="00DC19D6"/>
    <w:rsid w:val="00DC1BAF"/>
    <w:rsid w:val="00DC1DC5"/>
    <w:rsid w:val="00DC1FBB"/>
    <w:rsid w:val="00DC2214"/>
    <w:rsid w:val="00DC27CA"/>
    <w:rsid w:val="00DC2CAC"/>
    <w:rsid w:val="00DC2D36"/>
    <w:rsid w:val="00DC320B"/>
    <w:rsid w:val="00DC4483"/>
    <w:rsid w:val="00DC4788"/>
    <w:rsid w:val="00DC4844"/>
    <w:rsid w:val="00DC4BBA"/>
    <w:rsid w:val="00DC4BD1"/>
    <w:rsid w:val="00DC4DEE"/>
    <w:rsid w:val="00DC4E64"/>
    <w:rsid w:val="00DC4ED2"/>
    <w:rsid w:val="00DC4FC0"/>
    <w:rsid w:val="00DC50DF"/>
    <w:rsid w:val="00DC53EF"/>
    <w:rsid w:val="00DC545D"/>
    <w:rsid w:val="00DC55C7"/>
    <w:rsid w:val="00DC56AE"/>
    <w:rsid w:val="00DC589B"/>
    <w:rsid w:val="00DC5B5B"/>
    <w:rsid w:val="00DC5CBB"/>
    <w:rsid w:val="00DC6A5F"/>
    <w:rsid w:val="00DC6B1A"/>
    <w:rsid w:val="00DC6E74"/>
    <w:rsid w:val="00DC714E"/>
    <w:rsid w:val="00DC77EF"/>
    <w:rsid w:val="00DC78E0"/>
    <w:rsid w:val="00DC796B"/>
    <w:rsid w:val="00DC7AAE"/>
    <w:rsid w:val="00DC7BB6"/>
    <w:rsid w:val="00DC7BE8"/>
    <w:rsid w:val="00DC7CBD"/>
    <w:rsid w:val="00DC7E25"/>
    <w:rsid w:val="00DC7F0F"/>
    <w:rsid w:val="00DD00B6"/>
    <w:rsid w:val="00DD01AE"/>
    <w:rsid w:val="00DD0258"/>
    <w:rsid w:val="00DD0367"/>
    <w:rsid w:val="00DD0480"/>
    <w:rsid w:val="00DD063C"/>
    <w:rsid w:val="00DD0AAD"/>
    <w:rsid w:val="00DD0AF1"/>
    <w:rsid w:val="00DD0CFF"/>
    <w:rsid w:val="00DD0DDE"/>
    <w:rsid w:val="00DD0E8A"/>
    <w:rsid w:val="00DD1024"/>
    <w:rsid w:val="00DD141E"/>
    <w:rsid w:val="00DD14A4"/>
    <w:rsid w:val="00DD16DD"/>
    <w:rsid w:val="00DD1863"/>
    <w:rsid w:val="00DD18DB"/>
    <w:rsid w:val="00DD208B"/>
    <w:rsid w:val="00DD22CF"/>
    <w:rsid w:val="00DD2476"/>
    <w:rsid w:val="00DD2A52"/>
    <w:rsid w:val="00DD301D"/>
    <w:rsid w:val="00DD3432"/>
    <w:rsid w:val="00DD344F"/>
    <w:rsid w:val="00DD365E"/>
    <w:rsid w:val="00DD392B"/>
    <w:rsid w:val="00DD3B8C"/>
    <w:rsid w:val="00DD3BA9"/>
    <w:rsid w:val="00DD3D8A"/>
    <w:rsid w:val="00DD3E87"/>
    <w:rsid w:val="00DD3F00"/>
    <w:rsid w:val="00DD454A"/>
    <w:rsid w:val="00DD4564"/>
    <w:rsid w:val="00DD4721"/>
    <w:rsid w:val="00DD4746"/>
    <w:rsid w:val="00DD49CD"/>
    <w:rsid w:val="00DD53C6"/>
    <w:rsid w:val="00DD5A4A"/>
    <w:rsid w:val="00DD5AA8"/>
    <w:rsid w:val="00DD5FAD"/>
    <w:rsid w:val="00DD626C"/>
    <w:rsid w:val="00DD6294"/>
    <w:rsid w:val="00DD6316"/>
    <w:rsid w:val="00DD67A9"/>
    <w:rsid w:val="00DD6C3E"/>
    <w:rsid w:val="00DD6E65"/>
    <w:rsid w:val="00DD70A3"/>
    <w:rsid w:val="00DD71A6"/>
    <w:rsid w:val="00DD784F"/>
    <w:rsid w:val="00DD7862"/>
    <w:rsid w:val="00DD7EBE"/>
    <w:rsid w:val="00DD7F4C"/>
    <w:rsid w:val="00DD7FAE"/>
    <w:rsid w:val="00DE032C"/>
    <w:rsid w:val="00DE057D"/>
    <w:rsid w:val="00DE099B"/>
    <w:rsid w:val="00DE0EE0"/>
    <w:rsid w:val="00DE104F"/>
    <w:rsid w:val="00DE1065"/>
    <w:rsid w:val="00DE1579"/>
    <w:rsid w:val="00DE1805"/>
    <w:rsid w:val="00DE1A54"/>
    <w:rsid w:val="00DE1B1C"/>
    <w:rsid w:val="00DE1E48"/>
    <w:rsid w:val="00DE1FD5"/>
    <w:rsid w:val="00DE2303"/>
    <w:rsid w:val="00DE2924"/>
    <w:rsid w:val="00DE2981"/>
    <w:rsid w:val="00DE2995"/>
    <w:rsid w:val="00DE2B2B"/>
    <w:rsid w:val="00DE2D70"/>
    <w:rsid w:val="00DE2EC9"/>
    <w:rsid w:val="00DE363C"/>
    <w:rsid w:val="00DE3690"/>
    <w:rsid w:val="00DE3FF7"/>
    <w:rsid w:val="00DE4032"/>
    <w:rsid w:val="00DE4068"/>
    <w:rsid w:val="00DE4291"/>
    <w:rsid w:val="00DE432B"/>
    <w:rsid w:val="00DE462D"/>
    <w:rsid w:val="00DE49FF"/>
    <w:rsid w:val="00DE4B81"/>
    <w:rsid w:val="00DE5473"/>
    <w:rsid w:val="00DE54EA"/>
    <w:rsid w:val="00DE5608"/>
    <w:rsid w:val="00DE58D0"/>
    <w:rsid w:val="00DE5A11"/>
    <w:rsid w:val="00DE6031"/>
    <w:rsid w:val="00DE6100"/>
    <w:rsid w:val="00DE6157"/>
    <w:rsid w:val="00DE6237"/>
    <w:rsid w:val="00DE654F"/>
    <w:rsid w:val="00DE6718"/>
    <w:rsid w:val="00DE68B7"/>
    <w:rsid w:val="00DE6BF8"/>
    <w:rsid w:val="00DE6CF8"/>
    <w:rsid w:val="00DE6EBC"/>
    <w:rsid w:val="00DE7ABE"/>
    <w:rsid w:val="00DE7D25"/>
    <w:rsid w:val="00DE7DA7"/>
    <w:rsid w:val="00DF0092"/>
    <w:rsid w:val="00DF056C"/>
    <w:rsid w:val="00DF09DD"/>
    <w:rsid w:val="00DF0B6E"/>
    <w:rsid w:val="00DF0F0C"/>
    <w:rsid w:val="00DF15A1"/>
    <w:rsid w:val="00DF15E0"/>
    <w:rsid w:val="00DF1A76"/>
    <w:rsid w:val="00DF1AF4"/>
    <w:rsid w:val="00DF1E30"/>
    <w:rsid w:val="00DF1E9F"/>
    <w:rsid w:val="00DF1F55"/>
    <w:rsid w:val="00DF1F63"/>
    <w:rsid w:val="00DF2155"/>
    <w:rsid w:val="00DF25BC"/>
    <w:rsid w:val="00DF2A06"/>
    <w:rsid w:val="00DF3027"/>
    <w:rsid w:val="00DF34C4"/>
    <w:rsid w:val="00DF369A"/>
    <w:rsid w:val="00DF37A0"/>
    <w:rsid w:val="00DF395F"/>
    <w:rsid w:val="00DF3CA2"/>
    <w:rsid w:val="00DF415A"/>
    <w:rsid w:val="00DF418A"/>
    <w:rsid w:val="00DF425C"/>
    <w:rsid w:val="00DF4298"/>
    <w:rsid w:val="00DF465F"/>
    <w:rsid w:val="00DF482A"/>
    <w:rsid w:val="00DF51A3"/>
    <w:rsid w:val="00DF5309"/>
    <w:rsid w:val="00DF5B2A"/>
    <w:rsid w:val="00DF5BAF"/>
    <w:rsid w:val="00DF609F"/>
    <w:rsid w:val="00DF6323"/>
    <w:rsid w:val="00DF6725"/>
    <w:rsid w:val="00DF6B53"/>
    <w:rsid w:val="00DF6C31"/>
    <w:rsid w:val="00DF6E38"/>
    <w:rsid w:val="00DF7380"/>
    <w:rsid w:val="00DF73B7"/>
    <w:rsid w:val="00DF7773"/>
    <w:rsid w:val="00DF79A5"/>
    <w:rsid w:val="00DF7C46"/>
    <w:rsid w:val="00DF7C6C"/>
    <w:rsid w:val="00DF7FA6"/>
    <w:rsid w:val="00E0001D"/>
    <w:rsid w:val="00E0005F"/>
    <w:rsid w:val="00E00422"/>
    <w:rsid w:val="00E00729"/>
    <w:rsid w:val="00E0074D"/>
    <w:rsid w:val="00E00872"/>
    <w:rsid w:val="00E009DB"/>
    <w:rsid w:val="00E00A4F"/>
    <w:rsid w:val="00E010CC"/>
    <w:rsid w:val="00E011EE"/>
    <w:rsid w:val="00E01852"/>
    <w:rsid w:val="00E018A1"/>
    <w:rsid w:val="00E01E1E"/>
    <w:rsid w:val="00E01F35"/>
    <w:rsid w:val="00E01FA4"/>
    <w:rsid w:val="00E02058"/>
    <w:rsid w:val="00E02081"/>
    <w:rsid w:val="00E02205"/>
    <w:rsid w:val="00E02286"/>
    <w:rsid w:val="00E0235E"/>
    <w:rsid w:val="00E02ADD"/>
    <w:rsid w:val="00E02C8B"/>
    <w:rsid w:val="00E02E54"/>
    <w:rsid w:val="00E03378"/>
    <w:rsid w:val="00E03411"/>
    <w:rsid w:val="00E03612"/>
    <w:rsid w:val="00E03DCF"/>
    <w:rsid w:val="00E040C8"/>
    <w:rsid w:val="00E041BF"/>
    <w:rsid w:val="00E04541"/>
    <w:rsid w:val="00E046B8"/>
    <w:rsid w:val="00E04766"/>
    <w:rsid w:val="00E04C24"/>
    <w:rsid w:val="00E04C7F"/>
    <w:rsid w:val="00E04DD0"/>
    <w:rsid w:val="00E04FE1"/>
    <w:rsid w:val="00E050F0"/>
    <w:rsid w:val="00E0525C"/>
    <w:rsid w:val="00E052EA"/>
    <w:rsid w:val="00E0554C"/>
    <w:rsid w:val="00E05597"/>
    <w:rsid w:val="00E05747"/>
    <w:rsid w:val="00E05800"/>
    <w:rsid w:val="00E05DCF"/>
    <w:rsid w:val="00E05E0E"/>
    <w:rsid w:val="00E0631A"/>
    <w:rsid w:val="00E066BC"/>
    <w:rsid w:val="00E06F0D"/>
    <w:rsid w:val="00E070D4"/>
    <w:rsid w:val="00E070FC"/>
    <w:rsid w:val="00E0723C"/>
    <w:rsid w:val="00E07A1C"/>
    <w:rsid w:val="00E07BBB"/>
    <w:rsid w:val="00E07C14"/>
    <w:rsid w:val="00E07F44"/>
    <w:rsid w:val="00E10352"/>
    <w:rsid w:val="00E104D3"/>
    <w:rsid w:val="00E10C93"/>
    <w:rsid w:val="00E10D86"/>
    <w:rsid w:val="00E10E65"/>
    <w:rsid w:val="00E10E82"/>
    <w:rsid w:val="00E110D8"/>
    <w:rsid w:val="00E110E7"/>
    <w:rsid w:val="00E11208"/>
    <w:rsid w:val="00E11378"/>
    <w:rsid w:val="00E113CB"/>
    <w:rsid w:val="00E1165D"/>
    <w:rsid w:val="00E1168F"/>
    <w:rsid w:val="00E117E1"/>
    <w:rsid w:val="00E1187F"/>
    <w:rsid w:val="00E118AC"/>
    <w:rsid w:val="00E119EB"/>
    <w:rsid w:val="00E11A5C"/>
    <w:rsid w:val="00E11B20"/>
    <w:rsid w:val="00E11F58"/>
    <w:rsid w:val="00E11F77"/>
    <w:rsid w:val="00E11F85"/>
    <w:rsid w:val="00E11FB3"/>
    <w:rsid w:val="00E12042"/>
    <w:rsid w:val="00E12158"/>
    <w:rsid w:val="00E12229"/>
    <w:rsid w:val="00E123B5"/>
    <w:rsid w:val="00E123E0"/>
    <w:rsid w:val="00E1259F"/>
    <w:rsid w:val="00E1292A"/>
    <w:rsid w:val="00E12B92"/>
    <w:rsid w:val="00E130BE"/>
    <w:rsid w:val="00E13100"/>
    <w:rsid w:val="00E133AB"/>
    <w:rsid w:val="00E13ACF"/>
    <w:rsid w:val="00E13B45"/>
    <w:rsid w:val="00E13BBB"/>
    <w:rsid w:val="00E13C37"/>
    <w:rsid w:val="00E13CF4"/>
    <w:rsid w:val="00E13E44"/>
    <w:rsid w:val="00E1414E"/>
    <w:rsid w:val="00E14475"/>
    <w:rsid w:val="00E1473B"/>
    <w:rsid w:val="00E157F8"/>
    <w:rsid w:val="00E1595F"/>
    <w:rsid w:val="00E15C0E"/>
    <w:rsid w:val="00E15C5C"/>
    <w:rsid w:val="00E15D28"/>
    <w:rsid w:val="00E15F0B"/>
    <w:rsid w:val="00E15F2F"/>
    <w:rsid w:val="00E16030"/>
    <w:rsid w:val="00E165CC"/>
    <w:rsid w:val="00E16A8D"/>
    <w:rsid w:val="00E16B6B"/>
    <w:rsid w:val="00E16E6D"/>
    <w:rsid w:val="00E16F22"/>
    <w:rsid w:val="00E171CA"/>
    <w:rsid w:val="00E17729"/>
    <w:rsid w:val="00E17A51"/>
    <w:rsid w:val="00E17C67"/>
    <w:rsid w:val="00E17F35"/>
    <w:rsid w:val="00E17FA2"/>
    <w:rsid w:val="00E20038"/>
    <w:rsid w:val="00E207E3"/>
    <w:rsid w:val="00E20A3F"/>
    <w:rsid w:val="00E20F65"/>
    <w:rsid w:val="00E214D1"/>
    <w:rsid w:val="00E2173E"/>
    <w:rsid w:val="00E22330"/>
    <w:rsid w:val="00E22408"/>
    <w:rsid w:val="00E22594"/>
    <w:rsid w:val="00E22626"/>
    <w:rsid w:val="00E22676"/>
    <w:rsid w:val="00E22A1F"/>
    <w:rsid w:val="00E22B95"/>
    <w:rsid w:val="00E22C30"/>
    <w:rsid w:val="00E22CC1"/>
    <w:rsid w:val="00E22E5D"/>
    <w:rsid w:val="00E23852"/>
    <w:rsid w:val="00E23FAD"/>
    <w:rsid w:val="00E24208"/>
    <w:rsid w:val="00E246A3"/>
    <w:rsid w:val="00E24893"/>
    <w:rsid w:val="00E248EF"/>
    <w:rsid w:val="00E24D69"/>
    <w:rsid w:val="00E24F60"/>
    <w:rsid w:val="00E25324"/>
    <w:rsid w:val="00E253D8"/>
    <w:rsid w:val="00E25648"/>
    <w:rsid w:val="00E25684"/>
    <w:rsid w:val="00E26034"/>
    <w:rsid w:val="00E26572"/>
    <w:rsid w:val="00E2659E"/>
    <w:rsid w:val="00E266C9"/>
    <w:rsid w:val="00E26775"/>
    <w:rsid w:val="00E26D81"/>
    <w:rsid w:val="00E26F55"/>
    <w:rsid w:val="00E26F78"/>
    <w:rsid w:val="00E271BF"/>
    <w:rsid w:val="00E271F6"/>
    <w:rsid w:val="00E27242"/>
    <w:rsid w:val="00E273D9"/>
    <w:rsid w:val="00E274C2"/>
    <w:rsid w:val="00E27508"/>
    <w:rsid w:val="00E276F4"/>
    <w:rsid w:val="00E27961"/>
    <w:rsid w:val="00E27A4F"/>
    <w:rsid w:val="00E27C5B"/>
    <w:rsid w:val="00E30238"/>
    <w:rsid w:val="00E30277"/>
    <w:rsid w:val="00E30677"/>
    <w:rsid w:val="00E30A74"/>
    <w:rsid w:val="00E30A7C"/>
    <w:rsid w:val="00E30B38"/>
    <w:rsid w:val="00E30B5A"/>
    <w:rsid w:val="00E30BD1"/>
    <w:rsid w:val="00E3112B"/>
    <w:rsid w:val="00E3123D"/>
    <w:rsid w:val="00E313F3"/>
    <w:rsid w:val="00E31461"/>
    <w:rsid w:val="00E314CD"/>
    <w:rsid w:val="00E31719"/>
    <w:rsid w:val="00E31D43"/>
    <w:rsid w:val="00E32212"/>
    <w:rsid w:val="00E323E9"/>
    <w:rsid w:val="00E32608"/>
    <w:rsid w:val="00E32E98"/>
    <w:rsid w:val="00E33511"/>
    <w:rsid w:val="00E336D2"/>
    <w:rsid w:val="00E338B6"/>
    <w:rsid w:val="00E33AFD"/>
    <w:rsid w:val="00E34188"/>
    <w:rsid w:val="00E34374"/>
    <w:rsid w:val="00E345BF"/>
    <w:rsid w:val="00E346F6"/>
    <w:rsid w:val="00E34835"/>
    <w:rsid w:val="00E34958"/>
    <w:rsid w:val="00E34A7C"/>
    <w:rsid w:val="00E34AE0"/>
    <w:rsid w:val="00E34B6E"/>
    <w:rsid w:val="00E34CB2"/>
    <w:rsid w:val="00E34CBC"/>
    <w:rsid w:val="00E34D4E"/>
    <w:rsid w:val="00E3504D"/>
    <w:rsid w:val="00E3534C"/>
    <w:rsid w:val="00E353A1"/>
    <w:rsid w:val="00E354A3"/>
    <w:rsid w:val="00E35559"/>
    <w:rsid w:val="00E35850"/>
    <w:rsid w:val="00E358BC"/>
    <w:rsid w:val="00E359BE"/>
    <w:rsid w:val="00E35B16"/>
    <w:rsid w:val="00E35BB8"/>
    <w:rsid w:val="00E35D71"/>
    <w:rsid w:val="00E35DE6"/>
    <w:rsid w:val="00E35DF5"/>
    <w:rsid w:val="00E36222"/>
    <w:rsid w:val="00E36587"/>
    <w:rsid w:val="00E36674"/>
    <w:rsid w:val="00E3683E"/>
    <w:rsid w:val="00E36CA3"/>
    <w:rsid w:val="00E3723A"/>
    <w:rsid w:val="00E37383"/>
    <w:rsid w:val="00E37860"/>
    <w:rsid w:val="00E409AD"/>
    <w:rsid w:val="00E4116B"/>
    <w:rsid w:val="00E41789"/>
    <w:rsid w:val="00E42058"/>
    <w:rsid w:val="00E42440"/>
    <w:rsid w:val="00E42513"/>
    <w:rsid w:val="00E4253C"/>
    <w:rsid w:val="00E42558"/>
    <w:rsid w:val="00E42670"/>
    <w:rsid w:val="00E427E6"/>
    <w:rsid w:val="00E4312C"/>
    <w:rsid w:val="00E432EB"/>
    <w:rsid w:val="00E4340F"/>
    <w:rsid w:val="00E43C03"/>
    <w:rsid w:val="00E43DF1"/>
    <w:rsid w:val="00E446F1"/>
    <w:rsid w:val="00E44A31"/>
    <w:rsid w:val="00E44B39"/>
    <w:rsid w:val="00E44FBC"/>
    <w:rsid w:val="00E45282"/>
    <w:rsid w:val="00E454C1"/>
    <w:rsid w:val="00E454D0"/>
    <w:rsid w:val="00E454D2"/>
    <w:rsid w:val="00E45771"/>
    <w:rsid w:val="00E45DE5"/>
    <w:rsid w:val="00E460FE"/>
    <w:rsid w:val="00E46296"/>
    <w:rsid w:val="00E46886"/>
    <w:rsid w:val="00E46E24"/>
    <w:rsid w:val="00E46EE2"/>
    <w:rsid w:val="00E470D0"/>
    <w:rsid w:val="00E470EC"/>
    <w:rsid w:val="00E472AE"/>
    <w:rsid w:val="00E478B9"/>
    <w:rsid w:val="00E47AEF"/>
    <w:rsid w:val="00E47BCF"/>
    <w:rsid w:val="00E47E73"/>
    <w:rsid w:val="00E47F06"/>
    <w:rsid w:val="00E5007F"/>
    <w:rsid w:val="00E50291"/>
    <w:rsid w:val="00E5051A"/>
    <w:rsid w:val="00E50FCE"/>
    <w:rsid w:val="00E51163"/>
    <w:rsid w:val="00E51B6B"/>
    <w:rsid w:val="00E51CA5"/>
    <w:rsid w:val="00E51CD5"/>
    <w:rsid w:val="00E5261D"/>
    <w:rsid w:val="00E527B6"/>
    <w:rsid w:val="00E52BF1"/>
    <w:rsid w:val="00E52D19"/>
    <w:rsid w:val="00E530B9"/>
    <w:rsid w:val="00E53308"/>
    <w:rsid w:val="00E53566"/>
    <w:rsid w:val="00E538ED"/>
    <w:rsid w:val="00E53AF9"/>
    <w:rsid w:val="00E53B75"/>
    <w:rsid w:val="00E53E8E"/>
    <w:rsid w:val="00E53EAF"/>
    <w:rsid w:val="00E54336"/>
    <w:rsid w:val="00E543FD"/>
    <w:rsid w:val="00E544A3"/>
    <w:rsid w:val="00E54B9D"/>
    <w:rsid w:val="00E54CA0"/>
    <w:rsid w:val="00E54E3B"/>
    <w:rsid w:val="00E55426"/>
    <w:rsid w:val="00E55782"/>
    <w:rsid w:val="00E55BAE"/>
    <w:rsid w:val="00E55E7D"/>
    <w:rsid w:val="00E55EB0"/>
    <w:rsid w:val="00E562ED"/>
    <w:rsid w:val="00E56983"/>
    <w:rsid w:val="00E569AE"/>
    <w:rsid w:val="00E56E20"/>
    <w:rsid w:val="00E56F92"/>
    <w:rsid w:val="00E5739B"/>
    <w:rsid w:val="00E57547"/>
    <w:rsid w:val="00E57565"/>
    <w:rsid w:val="00E575B3"/>
    <w:rsid w:val="00E57CCE"/>
    <w:rsid w:val="00E57D87"/>
    <w:rsid w:val="00E57E53"/>
    <w:rsid w:val="00E57EA0"/>
    <w:rsid w:val="00E604F4"/>
    <w:rsid w:val="00E6055C"/>
    <w:rsid w:val="00E605AC"/>
    <w:rsid w:val="00E6061C"/>
    <w:rsid w:val="00E60D36"/>
    <w:rsid w:val="00E60F70"/>
    <w:rsid w:val="00E61456"/>
    <w:rsid w:val="00E61706"/>
    <w:rsid w:val="00E61D14"/>
    <w:rsid w:val="00E626B3"/>
    <w:rsid w:val="00E62704"/>
    <w:rsid w:val="00E628AC"/>
    <w:rsid w:val="00E62A8C"/>
    <w:rsid w:val="00E62FA6"/>
    <w:rsid w:val="00E6339F"/>
    <w:rsid w:val="00E6352A"/>
    <w:rsid w:val="00E63838"/>
    <w:rsid w:val="00E638DC"/>
    <w:rsid w:val="00E63D2B"/>
    <w:rsid w:val="00E63DBD"/>
    <w:rsid w:val="00E64138"/>
    <w:rsid w:val="00E643B4"/>
    <w:rsid w:val="00E64434"/>
    <w:rsid w:val="00E649E9"/>
    <w:rsid w:val="00E64AA7"/>
    <w:rsid w:val="00E64D05"/>
    <w:rsid w:val="00E64D9A"/>
    <w:rsid w:val="00E64EB4"/>
    <w:rsid w:val="00E64F58"/>
    <w:rsid w:val="00E651D2"/>
    <w:rsid w:val="00E65904"/>
    <w:rsid w:val="00E659F3"/>
    <w:rsid w:val="00E65AC7"/>
    <w:rsid w:val="00E65F66"/>
    <w:rsid w:val="00E66020"/>
    <w:rsid w:val="00E660AB"/>
    <w:rsid w:val="00E66219"/>
    <w:rsid w:val="00E6622C"/>
    <w:rsid w:val="00E66398"/>
    <w:rsid w:val="00E66773"/>
    <w:rsid w:val="00E667A3"/>
    <w:rsid w:val="00E66D57"/>
    <w:rsid w:val="00E6726A"/>
    <w:rsid w:val="00E67B5F"/>
    <w:rsid w:val="00E67C51"/>
    <w:rsid w:val="00E70039"/>
    <w:rsid w:val="00E701B5"/>
    <w:rsid w:val="00E70410"/>
    <w:rsid w:val="00E7104B"/>
    <w:rsid w:val="00E7135D"/>
    <w:rsid w:val="00E715F6"/>
    <w:rsid w:val="00E71662"/>
    <w:rsid w:val="00E7235C"/>
    <w:rsid w:val="00E726DD"/>
    <w:rsid w:val="00E7278A"/>
    <w:rsid w:val="00E727A4"/>
    <w:rsid w:val="00E729B4"/>
    <w:rsid w:val="00E72A04"/>
    <w:rsid w:val="00E72A44"/>
    <w:rsid w:val="00E72EFC"/>
    <w:rsid w:val="00E731B8"/>
    <w:rsid w:val="00E733EB"/>
    <w:rsid w:val="00E73506"/>
    <w:rsid w:val="00E737AC"/>
    <w:rsid w:val="00E7386E"/>
    <w:rsid w:val="00E73ADF"/>
    <w:rsid w:val="00E73D8A"/>
    <w:rsid w:val="00E73D8C"/>
    <w:rsid w:val="00E73E21"/>
    <w:rsid w:val="00E74783"/>
    <w:rsid w:val="00E747B3"/>
    <w:rsid w:val="00E749C2"/>
    <w:rsid w:val="00E75274"/>
    <w:rsid w:val="00E75434"/>
    <w:rsid w:val="00E75445"/>
    <w:rsid w:val="00E75593"/>
    <w:rsid w:val="00E757E7"/>
    <w:rsid w:val="00E758EC"/>
    <w:rsid w:val="00E76028"/>
    <w:rsid w:val="00E764F0"/>
    <w:rsid w:val="00E76740"/>
    <w:rsid w:val="00E7713C"/>
    <w:rsid w:val="00E77596"/>
    <w:rsid w:val="00E778F2"/>
    <w:rsid w:val="00E779B6"/>
    <w:rsid w:val="00E779BD"/>
    <w:rsid w:val="00E77AE7"/>
    <w:rsid w:val="00E77C1C"/>
    <w:rsid w:val="00E802DC"/>
    <w:rsid w:val="00E80B23"/>
    <w:rsid w:val="00E80B84"/>
    <w:rsid w:val="00E80ECE"/>
    <w:rsid w:val="00E811CC"/>
    <w:rsid w:val="00E811E2"/>
    <w:rsid w:val="00E81261"/>
    <w:rsid w:val="00E81409"/>
    <w:rsid w:val="00E8171D"/>
    <w:rsid w:val="00E81E5A"/>
    <w:rsid w:val="00E81E5C"/>
    <w:rsid w:val="00E82143"/>
    <w:rsid w:val="00E822B8"/>
    <w:rsid w:val="00E82335"/>
    <w:rsid w:val="00E8234C"/>
    <w:rsid w:val="00E824D1"/>
    <w:rsid w:val="00E82556"/>
    <w:rsid w:val="00E8282C"/>
    <w:rsid w:val="00E8293F"/>
    <w:rsid w:val="00E829A8"/>
    <w:rsid w:val="00E829D7"/>
    <w:rsid w:val="00E838D4"/>
    <w:rsid w:val="00E83913"/>
    <w:rsid w:val="00E83917"/>
    <w:rsid w:val="00E83A18"/>
    <w:rsid w:val="00E83AA9"/>
    <w:rsid w:val="00E83ADE"/>
    <w:rsid w:val="00E83AFB"/>
    <w:rsid w:val="00E83EFE"/>
    <w:rsid w:val="00E83FAB"/>
    <w:rsid w:val="00E8451D"/>
    <w:rsid w:val="00E84C27"/>
    <w:rsid w:val="00E84C69"/>
    <w:rsid w:val="00E84EEC"/>
    <w:rsid w:val="00E850A6"/>
    <w:rsid w:val="00E85223"/>
    <w:rsid w:val="00E8524F"/>
    <w:rsid w:val="00E85507"/>
    <w:rsid w:val="00E8557F"/>
    <w:rsid w:val="00E8574A"/>
    <w:rsid w:val="00E857C9"/>
    <w:rsid w:val="00E8587B"/>
    <w:rsid w:val="00E85928"/>
    <w:rsid w:val="00E861C4"/>
    <w:rsid w:val="00E8680D"/>
    <w:rsid w:val="00E868B5"/>
    <w:rsid w:val="00E87055"/>
    <w:rsid w:val="00E87181"/>
    <w:rsid w:val="00E871DB"/>
    <w:rsid w:val="00E87203"/>
    <w:rsid w:val="00E87209"/>
    <w:rsid w:val="00E874A0"/>
    <w:rsid w:val="00E87822"/>
    <w:rsid w:val="00E87891"/>
    <w:rsid w:val="00E87E21"/>
    <w:rsid w:val="00E901D4"/>
    <w:rsid w:val="00E9031E"/>
    <w:rsid w:val="00E90395"/>
    <w:rsid w:val="00E90491"/>
    <w:rsid w:val="00E90637"/>
    <w:rsid w:val="00E906B6"/>
    <w:rsid w:val="00E906E9"/>
    <w:rsid w:val="00E9087D"/>
    <w:rsid w:val="00E90E49"/>
    <w:rsid w:val="00E91026"/>
    <w:rsid w:val="00E913EC"/>
    <w:rsid w:val="00E915FA"/>
    <w:rsid w:val="00E9161C"/>
    <w:rsid w:val="00E917F9"/>
    <w:rsid w:val="00E91D22"/>
    <w:rsid w:val="00E920E5"/>
    <w:rsid w:val="00E9222B"/>
    <w:rsid w:val="00E92876"/>
    <w:rsid w:val="00E9291C"/>
    <w:rsid w:val="00E92B35"/>
    <w:rsid w:val="00E92C2E"/>
    <w:rsid w:val="00E93125"/>
    <w:rsid w:val="00E9318A"/>
    <w:rsid w:val="00E933CD"/>
    <w:rsid w:val="00E93857"/>
    <w:rsid w:val="00E93A06"/>
    <w:rsid w:val="00E93D87"/>
    <w:rsid w:val="00E93E4D"/>
    <w:rsid w:val="00E93F11"/>
    <w:rsid w:val="00E93FCC"/>
    <w:rsid w:val="00E93FFE"/>
    <w:rsid w:val="00E94580"/>
    <w:rsid w:val="00E945E9"/>
    <w:rsid w:val="00E94F34"/>
    <w:rsid w:val="00E94F8A"/>
    <w:rsid w:val="00E9522E"/>
    <w:rsid w:val="00E95400"/>
    <w:rsid w:val="00E95982"/>
    <w:rsid w:val="00E95C58"/>
    <w:rsid w:val="00E9607B"/>
    <w:rsid w:val="00E9611B"/>
    <w:rsid w:val="00E96278"/>
    <w:rsid w:val="00E963A8"/>
    <w:rsid w:val="00E9668F"/>
    <w:rsid w:val="00E966E1"/>
    <w:rsid w:val="00E967CF"/>
    <w:rsid w:val="00E96954"/>
    <w:rsid w:val="00E96A78"/>
    <w:rsid w:val="00E96CC2"/>
    <w:rsid w:val="00E96F2A"/>
    <w:rsid w:val="00E9704D"/>
    <w:rsid w:val="00E97077"/>
    <w:rsid w:val="00E970A6"/>
    <w:rsid w:val="00E9771F"/>
    <w:rsid w:val="00E977DC"/>
    <w:rsid w:val="00E97DBD"/>
    <w:rsid w:val="00EA0898"/>
    <w:rsid w:val="00EA0C88"/>
    <w:rsid w:val="00EA147B"/>
    <w:rsid w:val="00EA172B"/>
    <w:rsid w:val="00EA17C9"/>
    <w:rsid w:val="00EA1858"/>
    <w:rsid w:val="00EA195F"/>
    <w:rsid w:val="00EA1E71"/>
    <w:rsid w:val="00EA2803"/>
    <w:rsid w:val="00EA2A12"/>
    <w:rsid w:val="00EA339D"/>
    <w:rsid w:val="00EA3559"/>
    <w:rsid w:val="00EA3571"/>
    <w:rsid w:val="00EA35DC"/>
    <w:rsid w:val="00EA3C50"/>
    <w:rsid w:val="00EA3E73"/>
    <w:rsid w:val="00EA4290"/>
    <w:rsid w:val="00EA435A"/>
    <w:rsid w:val="00EA46E9"/>
    <w:rsid w:val="00EA4830"/>
    <w:rsid w:val="00EA489F"/>
    <w:rsid w:val="00EA4962"/>
    <w:rsid w:val="00EA58EF"/>
    <w:rsid w:val="00EA5B82"/>
    <w:rsid w:val="00EA5FF2"/>
    <w:rsid w:val="00EA61DE"/>
    <w:rsid w:val="00EA61E6"/>
    <w:rsid w:val="00EA6339"/>
    <w:rsid w:val="00EA750B"/>
    <w:rsid w:val="00EA7608"/>
    <w:rsid w:val="00EA7A41"/>
    <w:rsid w:val="00EA7A9E"/>
    <w:rsid w:val="00EA7B3D"/>
    <w:rsid w:val="00EA7CA9"/>
    <w:rsid w:val="00EA7D3D"/>
    <w:rsid w:val="00EB077B"/>
    <w:rsid w:val="00EB07E6"/>
    <w:rsid w:val="00EB0865"/>
    <w:rsid w:val="00EB0B7A"/>
    <w:rsid w:val="00EB1017"/>
    <w:rsid w:val="00EB1042"/>
    <w:rsid w:val="00EB1573"/>
    <w:rsid w:val="00EB16D5"/>
    <w:rsid w:val="00EB1961"/>
    <w:rsid w:val="00EB19E1"/>
    <w:rsid w:val="00EB1A9F"/>
    <w:rsid w:val="00EB1DFC"/>
    <w:rsid w:val="00EB217B"/>
    <w:rsid w:val="00EB23FA"/>
    <w:rsid w:val="00EB28F4"/>
    <w:rsid w:val="00EB3067"/>
    <w:rsid w:val="00EB34F1"/>
    <w:rsid w:val="00EB3E90"/>
    <w:rsid w:val="00EB427B"/>
    <w:rsid w:val="00EB44FA"/>
    <w:rsid w:val="00EB49DF"/>
    <w:rsid w:val="00EB4B04"/>
    <w:rsid w:val="00EB4EA2"/>
    <w:rsid w:val="00EB4F1C"/>
    <w:rsid w:val="00EB5058"/>
    <w:rsid w:val="00EB5832"/>
    <w:rsid w:val="00EB5AF4"/>
    <w:rsid w:val="00EB5DE7"/>
    <w:rsid w:val="00EB5EDC"/>
    <w:rsid w:val="00EB61E6"/>
    <w:rsid w:val="00EB6399"/>
    <w:rsid w:val="00EB6498"/>
    <w:rsid w:val="00EB65A4"/>
    <w:rsid w:val="00EB68D6"/>
    <w:rsid w:val="00EB69CC"/>
    <w:rsid w:val="00EB6D04"/>
    <w:rsid w:val="00EB6D30"/>
    <w:rsid w:val="00EB7707"/>
    <w:rsid w:val="00EB78A0"/>
    <w:rsid w:val="00EB7A65"/>
    <w:rsid w:val="00EC0122"/>
    <w:rsid w:val="00EC0150"/>
    <w:rsid w:val="00EC0279"/>
    <w:rsid w:val="00EC02FE"/>
    <w:rsid w:val="00EC084A"/>
    <w:rsid w:val="00EC0AED"/>
    <w:rsid w:val="00EC0E0C"/>
    <w:rsid w:val="00EC10DC"/>
    <w:rsid w:val="00EC13FE"/>
    <w:rsid w:val="00EC173B"/>
    <w:rsid w:val="00EC1A27"/>
    <w:rsid w:val="00EC1A5A"/>
    <w:rsid w:val="00EC1C4D"/>
    <w:rsid w:val="00EC222A"/>
    <w:rsid w:val="00EC2256"/>
    <w:rsid w:val="00EC2465"/>
    <w:rsid w:val="00EC24D5"/>
    <w:rsid w:val="00EC27C6"/>
    <w:rsid w:val="00EC29B0"/>
    <w:rsid w:val="00EC2DB5"/>
    <w:rsid w:val="00EC2E43"/>
    <w:rsid w:val="00EC31A4"/>
    <w:rsid w:val="00EC32CE"/>
    <w:rsid w:val="00EC4207"/>
    <w:rsid w:val="00EC42B4"/>
    <w:rsid w:val="00EC4C67"/>
    <w:rsid w:val="00EC4CC5"/>
    <w:rsid w:val="00EC4DD0"/>
    <w:rsid w:val="00EC503C"/>
    <w:rsid w:val="00EC54D3"/>
    <w:rsid w:val="00EC5653"/>
    <w:rsid w:val="00EC5696"/>
    <w:rsid w:val="00EC57BF"/>
    <w:rsid w:val="00EC5931"/>
    <w:rsid w:val="00EC5AF7"/>
    <w:rsid w:val="00EC5B47"/>
    <w:rsid w:val="00EC5DE0"/>
    <w:rsid w:val="00EC6533"/>
    <w:rsid w:val="00EC71CE"/>
    <w:rsid w:val="00EC7DCD"/>
    <w:rsid w:val="00ED0831"/>
    <w:rsid w:val="00ED08CA"/>
    <w:rsid w:val="00ED0C15"/>
    <w:rsid w:val="00ED0D1F"/>
    <w:rsid w:val="00ED1006"/>
    <w:rsid w:val="00ED1161"/>
    <w:rsid w:val="00ED137B"/>
    <w:rsid w:val="00ED1490"/>
    <w:rsid w:val="00ED19D7"/>
    <w:rsid w:val="00ED2178"/>
    <w:rsid w:val="00ED2462"/>
    <w:rsid w:val="00ED2B0A"/>
    <w:rsid w:val="00ED2BFE"/>
    <w:rsid w:val="00ED2CA4"/>
    <w:rsid w:val="00ED2DCF"/>
    <w:rsid w:val="00ED2EDE"/>
    <w:rsid w:val="00ED3115"/>
    <w:rsid w:val="00ED350E"/>
    <w:rsid w:val="00ED3655"/>
    <w:rsid w:val="00ED36B8"/>
    <w:rsid w:val="00ED3834"/>
    <w:rsid w:val="00ED3AD9"/>
    <w:rsid w:val="00ED3C53"/>
    <w:rsid w:val="00ED3CA5"/>
    <w:rsid w:val="00ED4A95"/>
    <w:rsid w:val="00ED4EDB"/>
    <w:rsid w:val="00ED4EF3"/>
    <w:rsid w:val="00ED4F6D"/>
    <w:rsid w:val="00ED51B5"/>
    <w:rsid w:val="00ED59BF"/>
    <w:rsid w:val="00ED5BFF"/>
    <w:rsid w:val="00ED5E1B"/>
    <w:rsid w:val="00ED5F17"/>
    <w:rsid w:val="00ED600C"/>
    <w:rsid w:val="00ED6037"/>
    <w:rsid w:val="00ED638E"/>
    <w:rsid w:val="00ED66F7"/>
    <w:rsid w:val="00ED6972"/>
    <w:rsid w:val="00ED6A2D"/>
    <w:rsid w:val="00ED6E30"/>
    <w:rsid w:val="00ED6E59"/>
    <w:rsid w:val="00ED72B6"/>
    <w:rsid w:val="00ED76B3"/>
    <w:rsid w:val="00ED7B86"/>
    <w:rsid w:val="00ED7BC4"/>
    <w:rsid w:val="00ED7C6E"/>
    <w:rsid w:val="00ED7C9F"/>
    <w:rsid w:val="00ED7CB1"/>
    <w:rsid w:val="00EE01F2"/>
    <w:rsid w:val="00EE092F"/>
    <w:rsid w:val="00EE0A7D"/>
    <w:rsid w:val="00EE0DC9"/>
    <w:rsid w:val="00EE0E01"/>
    <w:rsid w:val="00EE154E"/>
    <w:rsid w:val="00EE15FA"/>
    <w:rsid w:val="00EE18BA"/>
    <w:rsid w:val="00EE2225"/>
    <w:rsid w:val="00EE26DA"/>
    <w:rsid w:val="00EE2807"/>
    <w:rsid w:val="00EE2FD0"/>
    <w:rsid w:val="00EE32ED"/>
    <w:rsid w:val="00EE3F06"/>
    <w:rsid w:val="00EE4512"/>
    <w:rsid w:val="00EE498D"/>
    <w:rsid w:val="00EE4B39"/>
    <w:rsid w:val="00EE4CFD"/>
    <w:rsid w:val="00EE4F60"/>
    <w:rsid w:val="00EE4F92"/>
    <w:rsid w:val="00EE50C4"/>
    <w:rsid w:val="00EE511D"/>
    <w:rsid w:val="00EE51A2"/>
    <w:rsid w:val="00EE531E"/>
    <w:rsid w:val="00EE5459"/>
    <w:rsid w:val="00EE556C"/>
    <w:rsid w:val="00EE5578"/>
    <w:rsid w:val="00EE5731"/>
    <w:rsid w:val="00EE5ED1"/>
    <w:rsid w:val="00EE5F54"/>
    <w:rsid w:val="00EE67C0"/>
    <w:rsid w:val="00EE6A35"/>
    <w:rsid w:val="00EE6C49"/>
    <w:rsid w:val="00EE7116"/>
    <w:rsid w:val="00EE7456"/>
    <w:rsid w:val="00EE7CA8"/>
    <w:rsid w:val="00EE7E04"/>
    <w:rsid w:val="00EF01FE"/>
    <w:rsid w:val="00EF0585"/>
    <w:rsid w:val="00EF079F"/>
    <w:rsid w:val="00EF07BC"/>
    <w:rsid w:val="00EF097D"/>
    <w:rsid w:val="00EF0AAD"/>
    <w:rsid w:val="00EF0AD9"/>
    <w:rsid w:val="00EF0B1A"/>
    <w:rsid w:val="00EF0E82"/>
    <w:rsid w:val="00EF0EEE"/>
    <w:rsid w:val="00EF1039"/>
    <w:rsid w:val="00EF14CE"/>
    <w:rsid w:val="00EF1839"/>
    <w:rsid w:val="00EF18FE"/>
    <w:rsid w:val="00EF1912"/>
    <w:rsid w:val="00EF1A72"/>
    <w:rsid w:val="00EF2024"/>
    <w:rsid w:val="00EF227C"/>
    <w:rsid w:val="00EF28E4"/>
    <w:rsid w:val="00EF2A26"/>
    <w:rsid w:val="00EF2A9A"/>
    <w:rsid w:val="00EF2B4F"/>
    <w:rsid w:val="00EF2E60"/>
    <w:rsid w:val="00EF30CC"/>
    <w:rsid w:val="00EF31DF"/>
    <w:rsid w:val="00EF3395"/>
    <w:rsid w:val="00EF348C"/>
    <w:rsid w:val="00EF3F00"/>
    <w:rsid w:val="00EF45C6"/>
    <w:rsid w:val="00EF474E"/>
    <w:rsid w:val="00EF4921"/>
    <w:rsid w:val="00EF49F3"/>
    <w:rsid w:val="00EF4ADE"/>
    <w:rsid w:val="00EF4D9B"/>
    <w:rsid w:val="00EF5043"/>
    <w:rsid w:val="00EF525C"/>
    <w:rsid w:val="00EF54E0"/>
    <w:rsid w:val="00EF56F0"/>
    <w:rsid w:val="00EF5787"/>
    <w:rsid w:val="00EF5ADA"/>
    <w:rsid w:val="00EF5B21"/>
    <w:rsid w:val="00EF5C36"/>
    <w:rsid w:val="00EF5E43"/>
    <w:rsid w:val="00EF5FFE"/>
    <w:rsid w:val="00EF60D0"/>
    <w:rsid w:val="00EF6835"/>
    <w:rsid w:val="00EF6AEC"/>
    <w:rsid w:val="00EF6BD0"/>
    <w:rsid w:val="00EF6FAE"/>
    <w:rsid w:val="00EF7044"/>
    <w:rsid w:val="00EF7BF4"/>
    <w:rsid w:val="00F0005A"/>
    <w:rsid w:val="00F0034B"/>
    <w:rsid w:val="00F004AC"/>
    <w:rsid w:val="00F005F0"/>
    <w:rsid w:val="00F007FF"/>
    <w:rsid w:val="00F00D85"/>
    <w:rsid w:val="00F00DCE"/>
    <w:rsid w:val="00F00DF1"/>
    <w:rsid w:val="00F00F8C"/>
    <w:rsid w:val="00F020FA"/>
    <w:rsid w:val="00F02377"/>
    <w:rsid w:val="00F02D2C"/>
    <w:rsid w:val="00F02EA6"/>
    <w:rsid w:val="00F035A0"/>
    <w:rsid w:val="00F03755"/>
    <w:rsid w:val="00F03845"/>
    <w:rsid w:val="00F03982"/>
    <w:rsid w:val="00F0398B"/>
    <w:rsid w:val="00F03A3E"/>
    <w:rsid w:val="00F03A79"/>
    <w:rsid w:val="00F03BFC"/>
    <w:rsid w:val="00F03D87"/>
    <w:rsid w:val="00F03E8B"/>
    <w:rsid w:val="00F04512"/>
    <w:rsid w:val="00F04665"/>
    <w:rsid w:val="00F04A1E"/>
    <w:rsid w:val="00F04E7C"/>
    <w:rsid w:val="00F0528D"/>
    <w:rsid w:val="00F0567B"/>
    <w:rsid w:val="00F05855"/>
    <w:rsid w:val="00F05BD9"/>
    <w:rsid w:val="00F06462"/>
    <w:rsid w:val="00F06832"/>
    <w:rsid w:val="00F068B5"/>
    <w:rsid w:val="00F06A6E"/>
    <w:rsid w:val="00F06A79"/>
    <w:rsid w:val="00F06B8E"/>
    <w:rsid w:val="00F06C67"/>
    <w:rsid w:val="00F06D58"/>
    <w:rsid w:val="00F06DFD"/>
    <w:rsid w:val="00F06E0D"/>
    <w:rsid w:val="00F071D1"/>
    <w:rsid w:val="00F0724E"/>
    <w:rsid w:val="00F07533"/>
    <w:rsid w:val="00F07B66"/>
    <w:rsid w:val="00F07DFD"/>
    <w:rsid w:val="00F07EB5"/>
    <w:rsid w:val="00F101D3"/>
    <w:rsid w:val="00F102A5"/>
    <w:rsid w:val="00F10629"/>
    <w:rsid w:val="00F1086F"/>
    <w:rsid w:val="00F10A37"/>
    <w:rsid w:val="00F10D03"/>
    <w:rsid w:val="00F10E10"/>
    <w:rsid w:val="00F10E1D"/>
    <w:rsid w:val="00F10E96"/>
    <w:rsid w:val="00F1122A"/>
    <w:rsid w:val="00F11953"/>
    <w:rsid w:val="00F11A8F"/>
    <w:rsid w:val="00F11DB9"/>
    <w:rsid w:val="00F11E3C"/>
    <w:rsid w:val="00F120B7"/>
    <w:rsid w:val="00F12698"/>
    <w:rsid w:val="00F127C9"/>
    <w:rsid w:val="00F12C05"/>
    <w:rsid w:val="00F12CC7"/>
    <w:rsid w:val="00F13814"/>
    <w:rsid w:val="00F1387C"/>
    <w:rsid w:val="00F13E9E"/>
    <w:rsid w:val="00F14781"/>
    <w:rsid w:val="00F149C4"/>
    <w:rsid w:val="00F15364"/>
    <w:rsid w:val="00F15D8F"/>
    <w:rsid w:val="00F15FA5"/>
    <w:rsid w:val="00F16200"/>
    <w:rsid w:val="00F16428"/>
    <w:rsid w:val="00F1682E"/>
    <w:rsid w:val="00F168AE"/>
    <w:rsid w:val="00F16991"/>
    <w:rsid w:val="00F16B46"/>
    <w:rsid w:val="00F16E02"/>
    <w:rsid w:val="00F17507"/>
    <w:rsid w:val="00F17AB4"/>
    <w:rsid w:val="00F17E6B"/>
    <w:rsid w:val="00F2033D"/>
    <w:rsid w:val="00F205BB"/>
    <w:rsid w:val="00F207AC"/>
    <w:rsid w:val="00F2081F"/>
    <w:rsid w:val="00F209B7"/>
    <w:rsid w:val="00F20A7F"/>
    <w:rsid w:val="00F20CD3"/>
    <w:rsid w:val="00F20F91"/>
    <w:rsid w:val="00F20FB1"/>
    <w:rsid w:val="00F21160"/>
    <w:rsid w:val="00F2136C"/>
    <w:rsid w:val="00F21783"/>
    <w:rsid w:val="00F21943"/>
    <w:rsid w:val="00F21C3F"/>
    <w:rsid w:val="00F21E41"/>
    <w:rsid w:val="00F21F02"/>
    <w:rsid w:val="00F22252"/>
    <w:rsid w:val="00F2237C"/>
    <w:rsid w:val="00F228B4"/>
    <w:rsid w:val="00F22A08"/>
    <w:rsid w:val="00F22ABB"/>
    <w:rsid w:val="00F22BE0"/>
    <w:rsid w:val="00F22E41"/>
    <w:rsid w:val="00F22EF5"/>
    <w:rsid w:val="00F23043"/>
    <w:rsid w:val="00F23095"/>
    <w:rsid w:val="00F231B7"/>
    <w:rsid w:val="00F233A1"/>
    <w:rsid w:val="00F236CF"/>
    <w:rsid w:val="00F2376F"/>
    <w:rsid w:val="00F23779"/>
    <w:rsid w:val="00F23CD6"/>
    <w:rsid w:val="00F2404C"/>
    <w:rsid w:val="00F243D8"/>
    <w:rsid w:val="00F248C6"/>
    <w:rsid w:val="00F24961"/>
    <w:rsid w:val="00F249A1"/>
    <w:rsid w:val="00F24C07"/>
    <w:rsid w:val="00F24C2B"/>
    <w:rsid w:val="00F25003"/>
    <w:rsid w:val="00F25006"/>
    <w:rsid w:val="00F25302"/>
    <w:rsid w:val="00F2538E"/>
    <w:rsid w:val="00F25393"/>
    <w:rsid w:val="00F254D2"/>
    <w:rsid w:val="00F255A3"/>
    <w:rsid w:val="00F2566F"/>
    <w:rsid w:val="00F25AAD"/>
    <w:rsid w:val="00F25E0F"/>
    <w:rsid w:val="00F2601E"/>
    <w:rsid w:val="00F26255"/>
    <w:rsid w:val="00F26263"/>
    <w:rsid w:val="00F26828"/>
    <w:rsid w:val="00F26C43"/>
    <w:rsid w:val="00F271EE"/>
    <w:rsid w:val="00F272C9"/>
    <w:rsid w:val="00F27565"/>
    <w:rsid w:val="00F275FA"/>
    <w:rsid w:val="00F27CA2"/>
    <w:rsid w:val="00F27EBF"/>
    <w:rsid w:val="00F27F61"/>
    <w:rsid w:val="00F3060F"/>
    <w:rsid w:val="00F306A4"/>
    <w:rsid w:val="00F306BA"/>
    <w:rsid w:val="00F30828"/>
    <w:rsid w:val="00F30E16"/>
    <w:rsid w:val="00F30E65"/>
    <w:rsid w:val="00F31070"/>
    <w:rsid w:val="00F310E9"/>
    <w:rsid w:val="00F313D6"/>
    <w:rsid w:val="00F31608"/>
    <w:rsid w:val="00F31BA7"/>
    <w:rsid w:val="00F321BA"/>
    <w:rsid w:val="00F32585"/>
    <w:rsid w:val="00F3271B"/>
    <w:rsid w:val="00F32953"/>
    <w:rsid w:val="00F32A41"/>
    <w:rsid w:val="00F32B30"/>
    <w:rsid w:val="00F32FE8"/>
    <w:rsid w:val="00F3311C"/>
    <w:rsid w:val="00F3329D"/>
    <w:rsid w:val="00F33339"/>
    <w:rsid w:val="00F33626"/>
    <w:rsid w:val="00F33716"/>
    <w:rsid w:val="00F33ABA"/>
    <w:rsid w:val="00F33AD2"/>
    <w:rsid w:val="00F33D6C"/>
    <w:rsid w:val="00F34134"/>
    <w:rsid w:val="00F345A8"/>
    <w:rsid w:val="00F34B09"/>
    <w:rsid w:val="00F34C27"/>
    <w:rsid w:val="00F34F91"/>
    <w:rsid w:val="00F350A8"/>
    <w:rsid w:val="00F351E6"/>
    <w:rsid w:val="00F35A0E"/>
    <w:rsid w:val="00F35A82"/>
    <w:rsid w:val="00F35EB1"/>
    <w:rsid w:val="00F35F6C"/>
    <w:rsid w:val="00F361C3"/>
    <w:rsid w:val="00F364F6"/>
    <w:rsid w:val="00F36986"/>
    <w:rsid w:val="00F36C3C"/>
    <w:rsid w:val="00F37227"/>
    <w:rsid w:val="00F37374"/>
    <w:rsid w:val="00F37716"/>
    <w:rsid w:val="00F3774F"/>
    <w:rsid w:val="00F37E66"/>
    <w:rsid w:val="00F37EE3"/>
    <w:rsid w:val="00F37F85"/>
    <w:rsid w:val="00F3B763"/>
    <w:rsid w:val="00F4003B"/>
    <w:rsid w:val="00F40281"/>
    <w:rsid w:val="00F40407"/>
    <w:rsid w:val="00F40F0C"/>
    <w:rsid w:val="00F4120A"/>
    <w:rsid w:val="00F412D2"/>
    <w:rsid w:val="00F4138E"/>
    <w:rsid w:val="00F41708"/>
    <w:rsid w:val="00F41844"/>
    <w:rsid w:val="00F41871"/>
    <w:rsid w:val="00F41A6E"/>
    <w:rsid w:val="00F41DF4"/>
    <w:rsid w:val="00F421F6"/>
    <w:rsid w:val="00F4233B"/>
    <w:rsid w:val="00F425AB"/>
    <w:rsid w:val="00F42649"/>
    <w:rsid w:val="00F42730"/>
    <w:rsid w:val="00F42D57"/>
    <w:rsid w:val="00F42FEE"/>
    <w:rsid w:val="00F4306A"/>
    <w:rsid w:val="00F430E4"/>
    <w:rsid w:val="00F4352D"/>
    <w:rsid w:val="00F43732"/>
    <w:rsid w:val="00F43A25"/>
    <w:rsid w:val="00F43CB5"/>
    <w:rsid w:val="00F43F50"/>
    <w:rsid w:val="00F43FAB"/>
    <w:rsid w:val="00F441E0"/>
    <w:rsid w:val="00F44671"/>
    <w:rsid w:val="00F446F7"/>
    <w:rsid w:val="00F44D16"/>
    <w:rsid w:val="00F44F75"/>
    <w:rsid w:val="00F4535A"/>
    <w:rsid w:val="00F455E7"/>
    <w:rsid w:val="00F45968"/>
    <w:rsid w:val="00F459B7"/>
    <w:rsid w:val="00F45BCA"/>
    <w:rsid w:val="00F45C93"/>
    <w:rsid w:val="00F46168"/>
    <w:rsid w:val="00F462C2"/>
    <w:rsid w:val="00F4635E"/>
    <w:rsid w:val="00F46560"/>
    <w:rsid w:val="00F46C0F"/>
    <w:rsid w:val="00F46DB1"/>
    <w:rsid w:val="00F470A7"/>
    <w:rsid w:val="00F47151"/>
    <w:rsid w:val="00F47474"/>
    <w:rsid w:val="00F4766C"/>
    <w:rsid w:val="00F4766D"/>
    <w:rsid w:val="00F479EB"/>
    <w:rsid w:val="00F47A3C"/>
    <w:rsid w:val="00F47C2F"/>
    <w:rsid w:val="00F47C37"/>
    <w:rsid w:val="00F47C81"/>
    <w:rsid w:val="00F5060E"/>
    <w:rsid w:val="00F507D1"/>
    <w:rsid w:val="00F50909"/>
    <w:rsid w:val="00F50CBD"/>
    <w:rsid w:val="00F50DC7"/>
    <w:rsid w:val="00F51129"/>
    <w:rsid w:val="00F51223"/>
    <w:rsid w:val="00F514C2"/>
    <w:rsid w:val="00F519CE"/>
    <w:rsid w:val="00F51ADA"/>
    <w:rsid w:val="00F51CC9"/>
    <w:rsid w:val="00F51E81"/>
    <w:rsid w:val="00F525E4"/>
    <w:rsid w:val="00F52B0B"/>
    <w:rsid w:val="00F52DFF"/>
    <w:rsid w:val="00F5353D"/>
    <w:rsid w:val="00F53C54"/>
    <w:rsid w:val="00F53CD5"/>
    <w:rsid w:val="00F53E87"/>
    <w:rsid w:val="00F540DD"/>
    <w:rsid w:val="00F540E0"/>
    <w:rsid w:val="00F54373"/>
    <w:rsid w:val="00F544BE"/>
    <w:rsid w:val="00F5460B"/>
    <w:rsid w:val="00F5484A"/>
    <w:rsid w:val="00F54AB6"/>
    <w:rsid w:val="00F54ADB"/>
    <w:rsid w:val="00F55280"/>
    <w:rsid w:val="00F55496"/>
    <w:rsid w:val="00F55543"/>
    <w:rsid w:val="00F55673"/>
    <w:rsid w:val="00F55E97"/>
    <w:rsid w:val="00F55ED5"/>
    <w:rsid w:val="00F563F8"/>
    <w:rsid w:val="00F5664E"/>
    <w:rsid w:val="00F5682E"/>
    <w:rsid w:val="00F56F25"/>
    <w:rsid w:val="00F56FC6"/>
    <w:rsid w:val="00F57278"/>
    <w:rsid w:val="00F574FF"/>
    <w:rsid w:val="00F57569"/>
    <w:rsid w:val="00F57A12"/>
    <w:rsid w:val="00F60203"/>
    <w:rsid w:val="00F603BF"/>
    <w:rsid w:val="00F60433"/>
    <w:rsid w:val="00F604BD"/>
    <w:rsid w:val="00F606A0"/>
    <w:rsid w:val="00F607C5"/>
    <w:rsid w:val="00F60DEA"/>
    <w:rsid w:val="00F614A1"/>
    <w:rsid w:val="00F6187B"/>
    <w:rsid w:val="00F61C4D"/>
    <w:rsid w:val="00F61CCA"/>
    <w:rsid w:val="00F61D1A"/>
    <w:rsid w:val="00F62725"/>
    <w:rsid w:val="00F6288D"/>
    <w:rsid w:val="00F629C6"/>
    <w:rsid w:val="00F62F03"/>
    <w:rsid w:val="00F62F78"/>
    <w:rsid w:val="00F62F96"/>
    <w:rsid w:val="00F6302A"/>
    <w:rsid w:val="00F630C6"/>
    <w:rsid w:val="00F63806"/>
    <w:rsid w:val="00F63950"/>
    <w:rsid w:val="00F6398D"/>
    <w:rsid w:val="00F63B1A"/>
    <w:rsid w:val="00F63B4D"/>
    <w:rsid w:val="00F644EA"/>
    <w:rsid w:val="00F6466E"/>
    <w:rsid w:val="00F64BBD"/>
    <w:rsid w:val="00F64C2B"/>
    <w:rsid w:val="00F64F8D"/>
    <w:rsid w:val="00F651BE"/>
    <w:rsid w:val="00F652BB"/>
    <w:rsid w:val="00F6564E"/>
    <w:rsid w:val="00F65807"/>
    <w:rsid w:val="00F65E81"/>
    <w:rsid w:val="00F661AB"/>
    <w:rsid w:val="00F6691E"/>
    <w:rsid w:val="00F66998"/>
    <w:rsid w:val="00F66A45"/>
    <w:rsid w:val="00F66BA4"/>
    <w:rsid w:val="00F66CCC"/>
    <w:rsid w:val="00F66D1C"/>
    <w:rsid w:val="00F66DDC"/>
    <w:rsid w:val="00F66FBE"/>
    <w:rsid w:val="00F675A4"/>
    <w:rsid w:val="00F6761C"/>
    <w:rsid w:val="00F678B6"/>
    <w:rsid w:val="00F67928"/>
    <w:rsid w:val="00F67AA8"/>
    <w:rsid w:val="00F67BC0"/>
    <w:rsid w:val="00F67BC8"/>
    <w:rsid w:val="00F67C6B"/>
    <w:rsid w:val="00F67E9C"/>
    <w:rsid w:val="00F67F53"/>
    <w:rsid w:val="00F702BB"/>
    <w:rsid w:val="00F703BE"/>
    <w:rsid w:val="00F70B3C"/>
    <w:rsid w:val="00F70E57"/>
    <w:rsid w:val="00F7101C"/>
    <w:rsid w:val="00F710AB"/>
    <w:rsid w:val="00F71111"/>
    <w:rsid w:val="00F7115C"/>
    <w:rsid w:val="00F71858"/>
    <w:rsid w:val="00F71866"/>
    <w:rsid w:val="00F71D78"/>
    <w:rsid w:val="00F71F69"/>
    <w:rsid w:val="00F72407"/>
    <w:rsid w:val="00F725ED"/>
    <w:rsid w:val="00F72B72"/>
    <w:rsid w:val="00F72CD6"/>
    <w:rsid w:val="00F730DE"/>
    <w:rsid w:val="00F73A84"/>
    <w:rsid w:val="00F73BF3"/>
    <w:rsid w:val="00F73C9C"/>
    <w:rsid w:val="00F7402E"/>
    <w:rsid w:val="00F740E9"/>
    <w:rsid w:val="00F74851"/>
    <w:rsid w:val="00F74AE6"/>
    <w:rsid w:val="00F74BB9"/>
    <w:rsid w:val="00F753C7"/>
    <w:rsid w:val="00F75512"/>
    <w:rsid w:val="00F75582"/>
    <w:rsid w:val="00F755E4"/>
    <w:rsid w:val="00F75776"/>
    <w:rsid w:val="00F757E9"/>
    <w:rsid w:val="00F75A37"/>
    <w:rsid w:val="00F75A98"/>
    <w:rsid w:val="00F75FA7"/>
    <w:rsid w:val="00F76514"/>
    <w:rsid w:val="00F76C35"/>
    <w:rsid w:val="00F76EFA"/>
    <w:rsid w:val="00F77159"/>
    <w:rsid w:val="00F7728B"/>
    <w:rsid w:val="00F7776B"/>
    <w:rsid w:val="00F77FF3"/>
    <w:rsid w:val="00F804BE"/>
    <w:rsid w:val="00F80681"/>
    <w:rsid w:val="00F80B6D"/>
    <w:rsid w:val="00F80BC6"/>
    <w:rsid w:val="00F80DFA"/>
    <w:rsid w:val="00F80E8F"/>
    <w:rsid w:val="00F814E2"/>
    <w:rsid w:val="00F8175F"/>
    <w:rsid w:val="00F817CE"/>
    <w:rsid w:val="00F817D4"/>
    <w:rsid w:val="00F81888"/>
    <w:rsid w:val="00F81893"/>
    <w:rsid w:val="00F818B5"/>
    <w:rsid w:val="00F81C23"/>
    <w:rsid w:val="00F81EE1"/>
    <w:rsid w:val="00F81FA7"/>
    <w:rsid w:val="00F82213"/>
    <w:rsid w:val="00F8225F"/>
    <w:rsid w:val="00F826DA"/>
    <w:rsid w:val="00F82A72"/>
    <w:rsid w:val="00F82AA6"/>
    <w:rsid w:val="00F831BA"/>
    <w:rsid w:val="00F833F0"/>
    <w:rsid w:val="00F83695"/>
    <w:rsid w:val="00F83766"/>
    <w:rsid w:val="00F83B11"/>
    <w:rsid w:val="00F8446C"/>
    <w:rsid w:val="00F8456C"/>
    <w:rsid w:val="00F84858"/>
    <w:rsid w:val="00F848B6"/>
    <w:rsid w:val="00F84D9A"/>
    <w:rsid w:val="00F84F76"/>
    <w:rsid w:val="00F8522E"/>
    <w:rsid w:val="00F852E6"/>
    <w:rsid w:val="00F85363"/>
    <w:rsid w:val="00F8546C"/>
    <w:rsid w:val="00F8555A"/>
    <w:rsid w:val="00F859D8"/>
    <w:rsid w:val="00F85BF4"/>
    <w:rsid w:val="00F86133"/>
    <w:rsid w:val="00F863A4"/>
    <w:rsid w:val="00F86536"/>
    <w:rsid w:val="00F868F5"/>
    <w:rsid w:val="00F86B2F"/>
    <w:rsid w:val="00F86C23"/>
    <w:rsid w:val="00F86F7C"/>
    <w:rsid w:val="00F87576"/>
    <w:rsid w:val="00F878C3"/>
    <w:rsid w:val="00F879AC"/>
    <w:rsid w:val="00F9056A"/>
    <w:rsid w:val="00F90654"/>
    <w:rsid w:val="00F90721"/>
    <w:rsid w:val="00F90756"/>
    <w:rsid w:val="00F9079D"/>
    <w:rsid w:val="00F90BF9"/>
    <w:rsid w:val="00F90C54"/>
    <w:rsid w:val="00F90DBF"/>
    <w:rsid w:val="00F90F8D"/>
    <w:rsid w:val="00F9112C"/>
    <w:rsid w:val="00F911A3"/>
    <w:rsid w:val="00F91270"/>
    <w:rsid w:val="00F9146D"/>
    <w:rsid w:val="00F918EC"/>
    <w:rsid w:val="00F91C35"/>
    <w:rsid w:val="00F91EDF"/>
    <w:rsid w:val="00F92782"/>
    <w:rsid w:val="00F927E0"/>
    <w:rsid w:val="00F927ED"/>
    <w:rsid w:val="00F92854"/>
    <w:rsid w:val="00F92C7B"/>
    <w:rsid w:val="00F92DA2"/>
    <w:rsid w:val="00F92E48"/>
    <w:rsid w:val="00F92EE2"/>
    <w:rsid w:val="00F932E4"/>
    <w:rsid w:val="00F934D5"/>
    <w:rsid w:val="00F9363A"/>
    <w:rsid w:val="00F9395B"/>
    <w:rsid w:val="00F93AA9"/>
    <w:rsid w:val="00F93C58"/>
    <w:rsid w:val="00F93DF6"/>
    <w:rsid w:val="00F93E97"/>
    <w:rsid w:val="00F93FD0"/>
    <w:rsid w:val="00F94056"/>
    <w:rsid w:val="00F94767"/>
    <w:rsid w:val="00F947A1"/>
    <w:rsid w:val="00F94ECD"/>
    <w:rsid w:val="00F95027"/>
    <w:rsid w:val="00F953D9"/>
    <w:rsid w:val="00F95546"/>
    <w:rsid w:val="00F956F4"/>
    <w:rsid w:val="00F96141"/>
    <w:rsid w:val="00F962DC"/>
    <w:rsid w:val="00F96573"/>
    <w:rsid w:val="00F968F5"/>
    <w:rsid w:val="00F96985"/>
    <w:rsid w:val="00F96B2F"/>
    <w:rsid w:val="00F96DB4"/>
    <w:rsid w:val="00F96E77"/>
    <w:rsid w:val="00F96F9D"/>
    <w:rsid w:val="00F96FF5"/>
    <w:rsid w:val="00F974B1"/>
    <w:rsid w:val="00F975CD"/>
    <w:rsid w:val="00F97666"/>
    <w:rsid w:val="00F9777D"/>
    <w:rsid w:val="00F977B4"/>
    <w:rsid w:val="00F97838"/>
    <w:rsid w:val="00F97C38"/>
    <w:rsid w:val="00F97D3E"/>
    <w:rsid w:val="00FA026A"/>
    <w:rsid w:val="00FA046D"/>
    <w:rsid w:val="00FA0745"/>
    <w:rsid w:val="00FA099C"/>
    <w:rsid w:val="00FA0E8F"/>
    <w:rsid w:val="00FA0EA3"/>
    <w:rsid w:val="00FA11F5"/>
    <w:rsid w:val="00FA12B9"/>
    <w:rsid w:val="00FA17C4"/>
    <w:rsid w:val="00FA17E0"/>
    <w:rsid w:val="00FA1855"/>
    <w:rsid w:val="00FA1AAB"/>
    <w:rsid w:val="00FA1D24"/>
    <w:rsid w:val="00FA1FED"/>
    <w:rsid w:val="00FA2039"/>
    <w:rsid w:val="00FA2061"/>
    <w:rsid w:val="00FA24C9"/>
    <w:rsid w:val="00FA2B23"/>
    <w:rsid w:val="00FA2BB3"/>
    <w:rsid w:val="00FA2F07"/>
    <w:rsid w:val="00FA3375"/>
    <w:rsid w:val="00FA3A23"/>
    <w:rsid w:val="00FA417C"/>
    <w:rsid w:val="00FA42FE"/>
    <w:rsid w:val="00FA473D"/>
    <w:rsid w:val="00FA4A8A"/>
    <w:rsid w:val="00FA4C41"/>
    <w:rsid w:val="00FA4FE9"/>
    <w:rsid w:val="00FA5199"/>
    <w:rsid w:val="00FA53D0"/>
    <w:rsid w:val="00FA556C"/>
    <w:rsid w:val="00FA588C"/>
    <w:rsid w:val="00FA5B0E"/>
    <w:rsid w:val="00FA5D7A"/>
    <w:rsid w:val="00FA6279"/>
    <w:rsid w:val="00FA6406"/>
    <w:rsid w:val="00FA66F9"/>
    <w:rsid w:val="00FA687D"/>
    <w:rsid w:val="00FA695C"/>
    <w:rsid w:val="00FA6FA0"/>
    <w:rsid w:val="00FA6FBE"/>
    <w:rsid w:val="00FA76B0"/>
    <w:rsid w:val="00FA7773"/>
    <w:rsid w:val="00FA777B"/>
    <w:rsid w:val="00FA7AAE"/>
    <w:rsid w:val="00FA7AF2"/>
    <w:rsid w:val="00FA7DCE"/>
    <w:rsid w:val="00FB02D5"/>
    <w:rsid w:val="00FB03C0"/>
    <w:rsid w:val="00FB089E"/>
    <w:rsid w:val="00FB104E"/>
    <w:rsid w:val="00FB115C"/>
    <w:rsid w:val="00FB1E81"/>
    <w:rsid w:val="00FB2192"/>
    <w:rsid w:val="00FB24A4"/>
    <w:rsid w:val="00FB2BE7"/>
    <w:rsid w:val="00FB2D98"/>
    <w:rsid w:val="00FB3410"/>
    <w:rsid w:val="00FB370C"/>
    <w:rsid w:val="00FB3ACE"/>
    <w:rsid w:val="00FB3E11"/>
    <w:rsid w:val="00FB3E21"/>
    <w:rsid w:val="00FB4000"/>
    <w:rsid w:val="00FB44BC"/>
    <w:rsid w:val="00FB47E0"/>
    <w:rsid w:val="00FB4960"/>
    <w:rsid w:val="00FB4AC9"/>
    <w:rsid w:val="00FB4C80"/>
    <w:rsid w:val="00FB50DD"/>
    <w:rsid w:val="00FB51E0"/>
    <w:rsid w:val="00FB52EC"/>
    <w:rsid w:val="00FB5682"/>
    <w:rsid w:val="00FB57AC"/>
    <w:rsid w:val="00FB5CCC"/>
    <w:rsid w:val="00FB629D"/>
    <w:rsid w:val="00FB6340"/>
    <w:rsid w:val="00FB6675"/>
    <w:rsid w:val="00FB6A2C"/>
    <w:rsid w:val="00FB6A6A"/>
    <w:rsid w:val="00FB6AFF"/>
    <w:rsid w:val="00FB6CBB"/>
    <w:rsid w:val="00FB6D46"/>
    <w:rsid w:val="00FB716A"/>
    <w:rsid w:val="00FB769F"/>
    <w:rsid w:val="00FB7B70"/>
    <w:rsid w:val="00FB7CDD"/>
    <w:rsid w:val="00FB7F1C"/>
    <w:rsid w:val="00FC00AD"/>
    <w:rsid w:val="00FC024B"/>
    <w:rsid w:val="00FC0282"/>
    <w:rsid w:val="00FC0604"/>
    <w:rsid w:val="00FC08CE"/>
    <w:rsid w:val="00FC0C67"/>
    <w:rsid w:val="00FC0D75"/>
    <w:rsid w:val="00FC0F11"/>
    <w:rsid w:val="00FC1048"/>
    <w:rsid w:val="00FC131C"/>
    <w:rsid w:val="00FC1B4C"/>
    <w:rsid w:val="00FC2930"/>
    <w:rsid w:val="00FC2B8A"/>
    <w:rsid w:val="00FC312A"/>
    <w:rsid w:val="00FC328D"/>
    <w:rsid w:val="00FC34DB"/>
    <w:rsid w:val="00FC3AAB"/>
    <w:rsid w:val="00FC3D5E"/>
    <w:rsid w:val="00FC3F87"/>
    <w:rsid w:val="00FC49BB"/>
    <w:rsid w:val="00FC4A37"/>
    <w:rsid w:val="00FC4CE4"/>
    <w:rsid w:val="00FC4D12"/>
    <w:rsid w:val="00FC5440"/>
    <w:rsid w:val="00FC5751"/>
    <w:rsid w:val="00FC5851"/>
    <w:rsid w:val="00FC58C7"/>
    <w:rsid w:val="00FC63FD"/>
    <w:rsid w:val="00FC6745"/>
    <w:rsid w:val="00FC68D0"/>
    <w:rsid w:val="00FC730A"/>
    <w:rsid w:val="00FC73C6"/>
    <w:rsid w:val="00FC73E7"/>
    <w:rsid w:val="00FC7403"/>
    <w:rsid w:val="00FC7429"/>
    <w:rsid w:val="00FC775D"/>
    <w:rsid w:val="00FC79A1"/>
    <w:rsid w:val="00FC7A36"/>
    <w:rsid w:val="00FC7AC0"/>
    <w:rsid w:val="00FC7D36"/>
    <w:rsid w:val="00FD0178"/>
    <w:rsid w:val="00FD07F3"/>
    <w:rsid w:val="00FD07F6"/>
    <w:rsid w:val="00FD0E1A"/>
    <w:rsid w:val="00FD0E7B"/>
    <w:rsid w:val="00FD108F"/>
    <w:rsid w:val="00FD10DE"/>
    <w:rsid w:val="00FD148E"/>
    <w:rsid w:val="00FD1938"/>
    <w:rsid w:val="00FD1964"/>
    <w:rsid w:val="00FD1EA3"/>
    <w:rsid w:val="00FD1EC8"/>
    <w:rsid w:val="00FD2216"/>
    <w:rsid w:val="00FD24D6"/>
    <w:rsid w:val="00FD2765"/>
    <w:rsid w:val="00FD2B78"/>
    <w:rsid w:val="00FD2F47"/>
    <w:rsid w:val="00FD32F8"/>
    <w:rsid w:val="00FD331D"/>
    <w:rsid w:val="00FD33EF"/>
    <w:rsid w:val="00FD3626"/>
    <w:rsid w:val="00FD393A"/>
    <w:rsid w:val="00FD3A0A"/>
    <w:rsid w:val="00FD45C4"/>
    <w:rsid w:val="00FD4676"/>
    <w:rsid w:val="00FD47ED"/>
    <w:rsid w:val="00FD488A"/>
    <w:rsid w:val="00FD5161"/>
    <w:rsid w:val="00FD52C1"/>
    <w:rsid w:val="00FD545A"/>
    <w:rsid w:val="00FD5C31"/>
    <w:rsid w:val="00FD5C57"/>
    <w:rsid w:val="00FD5CBF"/>
    <w:rsid w:val="00FD6094"/>
    <w:rsid w:val="00FD62D4"/>
    <w:rsid w:val="00FD651E"/>
    <w:rsid w:val="00FD68BC"/>
    <w:rsid w:val="00FD6EA1"/>
    <w:rsid w:val="00FD74DB"/>
    <w:rsid w:val="00FD7660"/>
    <w:rsid w:val="00FD7BE4"/>
    <w:rsid w:val="00FD7DA2"/>
    <w:rsid w:val="00FD7E56"/>
    <w:rsid w:val="00FD7E9A"/>
    <w:rsid w:val="00FE000A"/>
    <w:rsid w:val="00FE03FD"/>
    <w:rsid w:val="00FE0655"/>
    <w:rsid w:val="00FE0F95"/>
    <w:rsid w:val="00FE109C"/>
    <w:rsid w:val="00FE10AD"/>
    <w:rsid w:val="00FE1173"/>
    <w:rsid w:val="00FE1308"/>
    <w:rsid w:val="00FE132D"/>
    <w:rsid w:val="00FE164E"/>
    <w:rsid w:val="00FE175B"/>
    <w:rsid w:val="00FE1864"/>
    <w:rsid w:val="00FE18B5"/>
    <w:rsid w:val="00FE1A34"/>
    <w:rsid w:val="00FE1CB5"/>
    <w:rsid w:val="00FE2252"/>
    <w:rsid w:val="00FE2365"/>
    <w:rsid w:val="00FE2658"/>
    <w:rsid w:val="00FE33F5"/>
    <w:rsid w:val="00FE3440"/>
    <w:rsid w:val="00FE37D7"/>
    <w:rsid w:val="00FE3B92"/>
    <w:rsid w:val="00FE41F7"/>
    <w:rsid w:val="00FE455C"/>
    <w:rsid w:val="00FE4744"/>
    <w:rsid w:val="00FE48E6"/>
    <w:rsid w:val="00FE4C7B"/>
    <w:rsid w:val="00FE4CFB"/>
    <w:rsid w:val="00FE50E5"/>
    <w:rsid w:val="00FE533E"/>
    <w:rsid w:val="00FE538A"/>
    <w:rsid w:val="00FE5A58"/>
    <w:rsid w:val="00FE5E0C"/>
    <w:rsid w:val="00FE6158"/>
    <w:rsid w:val="00FE63B1"/>
    <w:rsid w:val="00FE6614"/>
    <w:rsid w:val="00FE69F6"/>
    <w:rsid w:val="00FE6AD0"/>
    <w:rsid w:val="00FE6EFD"/>
    <w:rsid w:val="00FE70A9"/>
    <w:rsid w:val="00FE72EA"/>
    <w:rsid w:val="00FE7336"/>
    <w:rsid w:val="00FE73E5"/>
    <w:rsid w:val="00FE787C"/>
    <w:rsid w:val="00FE7895"/>
    <w:rsid w:val="00FE798A"/>
    <w:rsid w:val="00FE7E13"/>
    <w:rsid w:val="00FE7F14"/>
    <w:rsid w:val="00FF0127"/>
    <w:rsid w:val="00FF03D5"/>
    <w:rsid w:val="00FF056F"/>
    <w:rsid w:val="00FF086A"/>
    <w:rsid w:val="00FF0CAF"/>
    <w:rsid w:val="00FF0DD1"/>
    <w:rsid w:val="00FF0EFA"/>
    <w:rsid w:val="00FF0F18"/>
    <w:rsid w:val="00FF1131"/>
    <w:rsid w:val="00FF1898"/>
    <w:rsid w:val="00FF18FF"/>
    <w:rsid w:val="00FF1A29"/>
    <w:rsid w:val="00FF1BA3"/>
    <w:rsid w:val="00FF1F4F"/>
    <w:rsid w:val="00FF203A"/>
    <w:rsid w:val="00FF204B"/>
    <w:rsid w:val="00FF23CA"/>
    <w:rsid w:val="00FF2442"/>
    <w:rsid w:val="00FF2B8C"/>
    <w:rsid w:val="00FF32B2"/>
    <w:rsid w:val="00FF32FB"/>
    <w:rsid w:val="00FF353B"/>
    <w:rsid w:val="00FF360B"/>
    <w:rsid w:val="00FF3782"/>
    <w:rsid w:val="00FF422C"/>
    <w:rsid w:val="00FF42E2"/>
    <w:rsid w:val="00FF45A5"/>
    <w:rsid w:val="00FF47BC"/>
    <w:rsid w:val="00FF4961"/>
    <w:rsid w:val="00FF4C0E"/>
    <w:rsid w:val="00FF4DDE"/>
    <w:rsid w:val="00FF51CF"/>
    <w:rsid w:val="00FF5A2A"/>
    <w:rsid w:val="00FF5B6B"/>
    <w:rsid w:val="00FF5B90"/>
    <w:rsid w:val="00FF5C64"/>
    <w:rsid w:val="00FF5C91"/>
    <w:rsid w:val="00FF609B"/>
    <w:rsid w:val="00FF6342"/>
    <w:rsid w:val="00FF673B"/>
    <w:rsid w:val="00FF67C1"/>
    <w:rsid w:val="00FF695B"/>
    <w:rsid w:val="00FF6A6A"/>
    <w:rsid w:val="00FF6CD7"/>
    <w:rsid w:val="00FF6D45"/>
    <w:rsid w:val="00FF7170"/>
    <w:rsid w:val="00FF74CD"/>
    <w:rsid w:val="00FF763D"/>
    <w:rsid w:val="00FF773B"/>
    <w:rsid w:val="00FF7901"/>
    <w:rsid w:val="00FF7935"/>
    <w:rsid w:val="00FF796B"/>
    <w:rsid w:val="00FF7A88"/>
    <w:rsid w:val="0392C021"/>
    <w:rsid w:val="06E4528E"/>
    <w:rsid w:val="090C2D1D"/>
    <w:rsid w:val="0BC14E6B"/>
    <w:rsid w:val="0D558C50"/>
    <w:rsid w:val="0E3F697F"/>
    <w:rsid w:val="0F4ACBD0"/>
    <w:rsid w:val="10B4CDA6"/>
    <w:rsid w:val="11AA9E20"/>
    <w:rsid w:val="11D30916"/>
    <w:rsid w:val="11E43955"/>
    <w:rsid w:val="12A91025"/>
    <w:rsid w:val="1713DB23"/>
    <w:rsid w:val="1721611E"/>
    <w:rsid w:val="17AAA309"/>
    <w:rsid w:val="180BCBFB"/>
    <w:rsid w:val="1A32171A"/>
    <w:rsid w:val="1B60B867"/>
    <w:rsid w:val="1B68B085"/>
    <w:rsid w:val="1B93458F"/>
    <w:rsid w:val="1E18F31F"/>
    <w:rsid w:val="1F02610F"/>
    <w:rsid w:val="2063C255"/>
    <w:rsid w:val="2261AD16"/>
    <w:rsid w:val="2646AD83"/>
    <w:rsid w:val="26EB6BB7"/>
    <w:rsid w:val="27983E82"/>
    <w:rsid w:val="2B9C1EFE"/>
    <w:rsid w:val="2BBC1A53"/>
    <w:rsid w:val="2EB41731"/>
    <w:rsid w:val="2FDDF321"/>
    <w:rsid w:val="31E4FA58"/>
    <w:rsid w:val="3887EC61"/>
    <w:rsid w:val="3B3F8FA1"/>
    <w:rsid w:val="3FD2236C"/>
    <w:rsid w:val="417E79A4"/>
    <w:rsid w:val="44D82EDE"/>
    <w:rsid w:val="452B4F7F"/>
    <w:rsid w:val="4ED8D6E1"/>
    <w:rsid w:val="51580276"/>
    <w:rsid w:val="51B71DE1"/>
    <w:rsid w:val="52452FDA"/>
    <w:rsid w:val="52EF5DA6"/>
    <w:rsid w:val="551F7B99"/>
    <w:rsid w:val="57C2CEC9"/>
    <w:rsid w:val="590936CB"/>
    <w:rsid w:val="597D93B4"/>
    <w:rsid w:val="5ADAD0DF"/>
    <w:rsid w:val="5DA9293F"/>
    <w:rsid w:val="5E846612"/>
    <w:rsid w:val="5EC9DF03"/>
    <w:rsid w:val="6053831F"/>
    <w:rsid w:val="60AEB6DD"/>
    <w:rsid w:val="61AFEC37"/>
    <w:rsid w:val="623610D7"/>
    <w:rsid w:val="632475FA"/>
    <w:rsid w:val="65AA565B"/>
    <w:rsid w:val="66A772B8"/>
    <w:rsid w:val="69CE96D3"/>
    <w:rsid w:val="69F8F90C"/>
    <w:rsid w:val="6A7C3DB1"/>
    <w:rsid w:val="6AA33D1C"/>
    <w:rsid w:val="6C73F78A"/>
    <w:rsid w:val="6CCB5840"/>
    <w:rsid w:val="73C06455"/>
    <w:rsid w:val="74D91DED"/>
    <w:rsid w:val="77BD9B98"/>
    <w:rsid w:val="781F45BE"/>
    <w:rsid w:val="7C4D11EB"/>
    <w:rsid w:val="7EC57520"/>
    <w:rsid w:val="7F5D1B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uiPriority="21"/>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178F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BC7758"/>
    <w:pPr>
      <w:numPr>
        <w:numId w:val="13"/>
      </w:numPr>
      <w:ind w:left="1701" w:hanging="1701"/>
    </w:pPr>
    <w:rPr>
      <w:lang w:eastAsia="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uiPriority w:val="99"/>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3A4BC0"/>
    <w:rPr>
      <w:lang w:val="en-GB" w:eastAsia="en-US"/>
    </w:rPr>
  </w:style>
  <w:style w:type="paragraph" w:styleId="Revision">
    <w:name w:val="Revision"/>
    <w:hidden/>
    <w:uiPriority w:val="99"/>
    <w:semiHidden/>
    <w:rsid w:val="00F82A72"/>
    <w:rPr>
      <w:rFonts w:ascii="Arial" w:eastAsiaTheme="minorHAnsi" w:hAnsi="Arial" w:cstheme="minorBidi"/>
      <w:szCs w:val="22"/>
      <w:lang w:val="en-US" w:eastAsia="en-US"/>
    </w:rPr>
  </w:style>
  <w:style w:type="character" w:customStyle="1" w:styleId="TACChar">
    <w:name w:val="TAC Char"/>
    <w:link w:val="TAC"/>
    <w:qFormat/>
    <w:locked/>
    <w:rsid w:val="001925A9"/>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3B44A8"/>
    <w:rPr>
      <w:color w:val="2B579A"/>
      <w:shd w:val="clear" w:color="auto" w:fill="E1DFDD"/>
    </w:rPr>
  </w:style>
  <w:style w:type="character" w:customStyle="1" w:styleId="ui-provider">
    <w:name w:val="ui-provider"/>
    <w:basedOn w:val="DefaultParagraphFont"/>
    <w:rsid w:val="00C90C17"/>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C90C17"/>
    <w:rPr>
      <w:rFonts w:ascii="Arial" w:eastAsiaTheme="minorHAnsi" w:hAnsi="Arial" w:cstheme="minorBidi"/>
      <w:b/>
      <w:szCs w:val="22"/>
      <w:lang w:val="en-US"/>
    </w:rPr>
  </w:style>
  <w:style w:type="paragraph" w:styleId="EndnoteText">
    <w:name w:val="endnote text"/>
    <w:basedOn w:val="Normal"/>
    <w:link w:val="EndnoteTextChar"/>
    <w:uiPriority w:val="21"/>
    <w:rsid w:val="00C90C17"/>
    <w:pPr>
      <w:tabs>
        <w:tab w:val="left" w:pos="1247"/>
        <w:tab w:val="left" w:pos="2552"/>
        <w:tab w:val="left" w:pos="3856"/>
        <w:tab w:val="left" w:pos="5216"/>
        <w:tab w:val="left" w:pos="6464"/>
      </w:tabs>
      <w:spacing w:after="120" w:line="240" w:lineRule="atLeast"/>
      <w:ind w:left="85" w:hanging="85"/>
    </w:pPr>
    <w:rPr>
      <w:rFonts w:ascii="Ericsson Hilda" w:hAnsi="Ericsson Hilda" w:cs="Verdana"/>
      <w:sz w:val="16"/>
      <w:szCs w:val="20"/>
    </w:rPr>
  </w:style>
  <w:style w:type="character" w:customStyle="1" w:styleId="EndnoteTextChar">
    <w:name w:val="Endnote Text Char"/>
    <w:basedOn w:val="DefaultParagraphFont"/>
    <w:link w:val="EndnoteText"/>
    <w:uiPriority w:val="21"/>
    <w:rsid w:val="00C90C17"/>
    <w:rPr>
      <w:rFonts w:ascii="Ericsson Hilda" w:eastAsiaTheme="minorHAnsi" w:hAnsi="Ericsson Hilda" w:cs="Verdana"/>
      <w:sz w:val="16"/>
      <w:lang w:val="en-US" w:eastAsia="en-US"/>
    </w:rPr>
  </w:style>
  <w:style w:type="paragraph" w:styleId="BlockText">
    <w:name w:val="Block Text"/>
    <w:basedOn w:val="Normal"/>
    <w:rsid w:val="00C90C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customStyle="1" w:styleId="References">
    <w:name w:val="References"/>
    <w:basedOn w:val="Normal"/>
    <w:qFormat/>
    <w:rsid w:val="0074567C"/>
    <w:pPr>
      <w:autoSpaceDE w:val="0"/>
      <w:autoSpaceDN w:val="0"/>
      <w:snapToGrid w:val="0"/>
      <w:spacing w:after="60" w:line="240" w:lineRule="auto"/>
      <w:jc w:val="both"/>
    </w:pPr>
    <w:rPr>
      <w:rFonts w:ascii="Times New Roman" w:eastAsia="SimSun" w:hAnsi="Times New Roman" w:cs="Times New Roman"/>
      <w:szCs w:val="16"/>
    </w:rPr>
  </w:style>
  <w:style w:type="paragraph" w:styleId="BodyText2">
    <w:name w:val="Body Text 2"/>
    <w:basedOn w:val="Normal"/>
    <w:link w:val="BodyText2Char"/>
    <w:rsid w:val="005F577A"/>
    <w:pPr>
      <w:spacing w:after="120" w:line="480" w:lineRule="auto"/>
    </w:pPr>
  </w:style>
  <w:style w:type="character" w:customStyle="1" w:styleId="BodyText2Char">
    <w:name w:val="Body Text 2 Char"/>
    <w:basedOn w:val="DefaultParagraphFont"/>
    <w:link w:val="BodyText2"/>
    <w:rsid w:val="005F577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6026">
      <w:bodyDiv w:val="1"/>
      <w:marLeft w:val="0"/>
      <w:marRight w:val="0"/>
      <w:marTop w:val="0"/>
      <w:marBottom w:val="0"/>
      <w:divBdr>
        <w:top w:val="none" w:sz="0" w:space="0" w:color="auto"/>
        <w:left w:val="none" w:sz="0" w:space="0" w:color="auto"/>
        <w:bottom w:val="none" w:sz="0" w:space="0" w:color="auto"/>
        <w:right w:val="none" w:sz="0" w:space="0" w:color="auto"/>
      </w:divBdr>
    </w:div>
    <w:div w:id="185140716">
      <w:bodyDiv w:val="1"/>
      <w:marLeft w:val="0"/>
      <w:marRight w:val="0"/>
      <w:marTop w:val="0"/>
      <w:marBottom w:val="0"/>
      <w:divBdr>
        <w:top w:val="none" w:sz="0" w:space="0" w:color="auto"/>
        <w:left w:val="none" w:sz="0" w:space="0" w:color="auto"/>
        <w:bottom w:val="none" w:sz="0" w:space="0" w:color="auto"/>
        <w:right w:val="none" w:sz="0" w:space="0" w:color="auto"/>
      </w:divBdr>
      <w:divsChild>
        <w:div w:id="74715546">
          <w:marLeft w:val="850"/>
          <w:marRight w:val="0"/>
          <w:marTop w:val="160"/>
          <w:marBottom w:val="0"/>
          <w:divBdr>
            <w:top w:val="none" w:sz="0" w:space="0" w:color="auto"/>
            <w:left w:val="none" w:sz="0" w:space="0" w:color="auto"/>
            <w:bottom w:val="none" w:sz="0" w:space="0" w:color="auto"/>
            <w:right w:val="none" w:sz="0" w:space="0" w:color="auto"/>
          </w:divBdr>
        </w:div>
        <w:div w:id="191504492">
          <w:marLeft w:val="850"/>
          <w:marRight w:val="0"/>
          <w:marTop w:val="160"/>
          <w:marBottom w:val="0"/>
          <w:divBdr>
            <w:top w:val="none" w:sz="0" w:space="0" w:color="auto"/>
            <w:left w:val="none" w:sz="0" w:space="0" w:color="auto"/>
            <w:bottom w:val="none" w:sz="0" w:space="0" w:color="auto"/>
            <w:right w:val="none" w:sz="0" w:space="0" w:color="auto"/>
          </w:divBdr>
        </w:div>
        <w:div w:id="232393200">
          <w:marLeft w:val="418"/>
          <w:marRight w:val="0"/>
          <w:marTop w:val="160"/>
          <w:marBottom w:val="0"/>
          <w:divBdr>
            <w:top w:val="none" w:sz="0" w:space="0" w:color="auto"/>
            <w:left w:val="none" w:sz="0" w:space="0" w:color="auto"/>
            <w:bottom w:val="none" w:sz="0" w:space="0" w:color="auto"/>
            <w:right w:val="none" w:sz="0" w:space="0" w:color="auto"/>
          </w:divBdr>
        </w:div>
        <w:div w:id="402332933">
          <w:marLeft w:val="418"/>
          <w:marRight w:val="0"/>
          <w:marTop w:val="160"/>
          <w:marBottom w:val="0"/>
          <w:divBdr>
            <w:top w:val="none" w:sz="0" w:space="0" w:color="auto"/>
            <w:left w:val="none" w:sz="0" w:space="0" w:color="auto"/>
            <w:bottom w:val="none" w:sz="0" w:space="0" w:color="auto"/>
            <w:right w:val="none" w:sz="0" w:space="0" w:color="auto"/>
          </w:divBdr>
        </w:div>
        <w:div w:id="1525899453">
          <w:marLeft w:val="418"/>
          <w:marRight w:val="0"/>
          <w:marTop w:val="160"/>
          <w:marBottom w:val="0"/>
          <w:divBdr>
            <w:top w:val="none" w:sz="0" w:space="0" w:color="auto"/>
            <w:left w:val="none" w:sz="0" w:space="0" w:color="auto"/>
            <w:bottom w:val="none" w:sz="0" w:space="0" w:color="auto"/>
            <w:right w:val="none" w:sz="0" w:space="0" w:color="auto"/>
          </w:divBdr>
        </w:div>
        <w:div w:id="1798571459">
          <w:marLeft w:val="1267"/>
          <w:marRight w:val="0"/>
          <w:marTop w:val="160"/>
          <w:marBottom w:val="0"/>
          <w:divBdr>
            <w:top w:val="none" w:sz="0" w:space="0" w:color="auto"/>
            <w:left w:val="none" w:sz="0" w:space="0" w:color="auto"/>
            <w:bottom w:val="none" w:sz="0" w:space="0" w:color="auto"/>
            <w:right w:val="none" w:sz="0" w:space="0" w:color="auto"/>
          </w:divBdr>
        </w:div>
        <w:div w:id="1900900129">
          <w:marLeft w:val="1267"/>
          <w:marRight w:val="0"/>
          <w:marTop w:val="160"/>
          <w:marBottom w:val="0"/>
          <w:divBdr>
            <w:top w:val="none" w:sz="0" w:space="0" w:color="auto"/>
            <w:left w:val="none" w:sz="0" w:space="0" w:color="auto"/>
            <w:bottom w:val="none" w:sz="0" w:space="0" w:color="auto"/>
            <w:right w:val="none" w:sz="0" w:space="0" w:color="auto"/>
          </w:divBdr>
        </w:div>
      </w:divsChild>
    </w:div>
    <w:div w:id="290675995">
      <w:bodyDiv w:val="1"/>
      <w:marLeft w:val="0"/>
      <w:marRight w:val="0"/>
      <w:marTop w:val="0"/>
      <w:marBottom w:val="0"/>
      <w:divBdr>
        <w:top w:val="none" w:sz="0" w:space="0" w:color="auto"/>
        <w:left w:val="none" w:sz="0" w:space="0" w:color="auto"/>
        <w:bottom w:val="none" w:sz="0" w:space="0" w:color="auto"/>
        <w:right w:val="none" w:sz="0" w:space="0" w:color="auto"/>
      </w:divBdr>
      <w:divsChild>
        <w:div w:id="46421078">
          <w:marLeft w:val="1699"/>
          <w:marRight w:val="0"/>
          <w:marTop w:val="160"/>
          <w:marBottom w:val="0"/>
          <w:divBdr>
            <w:top w:val="none" w:sz="0" w:space="0" w:color="auto"/>
            <w:left w:val="none" w:sz="0" w:space="0" w:color="auto"/>
            <w:bottom w:val="none" w:sz="0" w:space="0" w:color="auto"/>
            <w:right w:val="none" w:sz="0" w:space="0" w:color="auto"/>
          </w:divBdr>
        </w:div>
        <w:div w:id="127477097">
          <w:marLeft w:val="418"/>
          <w:marRight w:val="0"/>
          <w:marTop w:val="160"/>
          <w:marBottom w:val="0"/>
          <w:divBdr>
            <w:top w:val="none" w:sz="0" w:space="0" w:color="auto"/>
            <w:left w:val="none" w:sz="0" w:space="0" w:color="auto"/>
            <w:bottom w:val="none" w:sz="0" w:space="0" w:color="auto"/>
            <w:right w:val="none" w:sz="0" w:space="0" w:color="auto"/>
          </w:divBdr>
        </w:div>
        <w:div w:id="534536273">
          <w:marLeft w:val="418"/>
          <w:marRight w:val="0"/>
          <w:marTop w:val="160"/>
          <w:marBottom w:val="0"/>
          <w:divBdr>
            <w:top w:val="none" w:sz="0" w:space="0" w:color="auto"/>
            <w:left w:val="none" w:sz="0" w:space="0" w:color="auto"/>
            <w:bottom w:val="none" w:sz="0" w:space="0" w:color="auto"/>
            <w:right w:val="none" w:sz="0" w:space="0" w:color="auto"/>
          </w:divBdr>
        </w:div>
        <w:div w:id="831718383">
          <w:marLeft w:val="850"/>
          <w:marRight w:val="0"/>
          <w:marTop w:val="160"/>
          <w:marBottom w:val="0"/>
          <w:divBdr>
            <w:top w:val="none" w:sz="0" w:space="0" w:color="auto"/>
            <w:left w:val="none" w:sz="0" w:space="0" w:color="auto"/>
            <w:bottom w:val="none" w:sz="0" w:space="0" w:color="auto"/>
            <w:right w:val="none" w:sz="0" w:space="0" w:color="auto"/>
          </w:divBdr>
        </w:div>
        <w:div w:id="1472668675">
          <w:marLeft w:val="1699"/>
          <w:marRight w:val="0"/>
          <w:marTop w:val="160"/>
          <w:marBottom w:val="0"/>
          <w:divBdr>
            <w:top w:val="none" w:sz="0" w:space="0" w:color="auto"/>
            <w:left w:val="none" w:sz="0" w:space="0" w:color="auto"/>
            <w:bottom w:val="none" w:sz="0" w:space="0" w:color="auto"/>
            <w:right w:val="none" w:sz="0" w:space="0" w:color="auto"/>
          </w:divBdr>
        </w:div>
        <w:div w:id="1707678550">
          <w:marLeft w:val="850"/>
          <w:marRight w:val="0"/>
          <w:marTop w:val="160"/>
          <w:marBottom w:val="0"/>
          <w:divBdr>
            <w:top w:val="none" w:sz="0" w:space="0" w:color="auto"/>
            <w:left w:val="none" w:sz="0" w:space="0" w:color="auto"/>
            <w:bottom w:val="none" w:sz="0" w:space="0" w:color="auto"/>
            <w:right w:val="none" w:sz="0" w:space="0" w:color="auto"/>
          </w:divBdr>
        </w:div>
        <w:div w:id="1886673028">
          <w:marLeft w:val="1267"/>
          <w:marRight w:val="0"/>
          <w:marTop w:val="160"/>
          <w:marBottom w:val="0"/>
          <w:divBdr>
            <w:top w:val="none" w:sz="0" w:space="0" w:color="auto"/>
            <w:left w:val="none" w:sz="0" w:space="0" w:color="auto"/>
            <w:bottom w:val="none" w:sz="0" w:space="0" w:color="auto"/>
            <w:right w:val="none" w:sz="0" w:space="0" w:color="auto"/>
          </w:divBdr>
        </w:div>
        <w:div w:id="2089302442">
          <w:marLeft w:val="1267"/>
          <w:marRight w:val="0"/>
          <w:marTop w:val="160"/>
          <w:marBottom w:val="0"/>
          <w:divBdr>
            <w:top w:val="none" w:sz="0" w:space="0" w:color="auto"/>
            <w:left w:val="none" w:sz="0" w:space="0" w:color="auto"/>
            <w:bottom w:val="none" w:sz="0" w:space="0" w:color="auto"/>
            <w:right w:val="none" w:sz="0" w:space="0" w:color="auto"/>
          </w:divBdr>
        </w:div>
      </w:divsChild>
    </w:div>
    <w:div w:id="439569432">
      <w:bodyDiv w:val="1"/>
      <w:marLeft w:val="0"/>
      <w:marRight w:val="0"/>
      <w:marTop w:val="0"/>
      <w:marBottom w:val="0"/>
      <w:divBdr>
        <w:top w:val="none" w:sz="0" w:space="0" w:color="auto"/>
        <w:left w:val="none" w:sz="0" w:space="0" w:color="auto"/>
        <w:bottom w:val="none" w:sz="0" w:space="0" w:color="auto"/>
        <w:right w:val="none" w:sz="0" w:space="0" w:color="auto"/>
      </w:divBdr>
      <w:divsChild>
        <w:div w:id="1448040805">
          <w:marLeft w:val="418"/>
          <w:marRight w:val="0"/>
          <w:marTop w:val="160"/>
          <w:marBottom w:val="0"/>
          <w:divBdr>
            <w:top w:val="none" w:sz="0" w:space="0" w:color="auto"/>
            <w:left w:val="none" w:sz="0" w:space="0" w:color="auto"/>
            <w:bottom w:val="none" w:sz="0" w:space="0" w:color="auto"/>
            <w:right w:val="none" w:sz="0" w:space="0" w:color="auto"/>
          </w:divBdr>
        </w:div>
      </w:divsChild>
    </w:div>
    <w:div w:id="617760104">
      <w:bodyDiv w:val="1"/>
      <w:marLeft w:val="0"/>
      <w:marRight w:val="0"/>
      <w:marTop w:val="0"/>
      <w:marBottom w:val="0"/>
      <w:divBdr>
        <w:top w:val="none" w:sz="0" w:space="0" w:color="auto"/>
        <w:left w:val="none" w:sz="0" w:space="0" w:color="auto"/>
        <w:bottom w:val="none" w:sz="0" w:space="0" w:color="auto"/>
        <w:right w:val="none" w:sz="0" w:space="0" w:color="auto"/>
      </w:divBdr>
    </w:div>
    <w:div w:id="782069911">
      <w:bodyDiv w:val="1"/>
      <w:marLeft w:val="0"/>
      <w:marRight w:val="0"/>
      <w:marTop w:val="0"/>
      <w:marBottom w:val="0"/>
      <w:divBdr>
        <w:top w:val="none" w:sz="0" w:space="0" w:color="auto"/>
        <w:left w:val="none" w:sz="0" w:space="0" w:color="auto"/>
        <w:bottom w:val="none" w:sz="0" w:space="0" w:color="auto"/>
        <w:right w:val="none" w:sz="0" w:space="0" w:color="auto"/>
      </w:divBdr>
    </w:div>
    <w:div w:id="808084849">
      <w:bodyDiv w:val="1"/>
      <w:marLeft w:val="0"/>
      <w:marRight w:val="0"/>
      <w:marTop w:val="0"/>
      <w:marBottom w:val="0"/>
      <w:divBdr>
        <w:top w:val="none" w:sz="0" w:space="0" w:color="auto"/>
        <w:left w:val="none" w:sz="0" w:space="0" w:color="auto"/>
        <w:bottom w:val="none" w:sz="0" w:space="0" w:color="auto"/>
        <w:right w:val="none" w:sz="0" w:space="0" w:color="auto"/>
      </w:divBdr>
      <w:divsChild>
        <w:div w:id="635456319">
          <w:marLeft w:val="418"/>
          <w:marRight w:val="0"/>
          <w:marTop w:val="160"/>
          <w:marBottom w:val="0"/>
          <w:divBdr>
            <w:top w:val="none" w:sz="0" w:space="0" w:color="auto"/>
            <w:left w:val="none" w:sz="0" w:space="0" w:color="auto"/>
            <w:bottom w:val="none" w:sz="0" w:space="0" w:color="auto"/>
            <w:right w:val="none" w:sz="0" w:space="0" w:color="auto"/>
          </w:divBdr>
        </w:div>
        <w:div w:id="954600777">
          <w:marLeft w:val="850"/>
          <w:marRight w:val="0"/>
          <w:marTop w:val="160"/>
          <w:marBottom w:val="0"/>
          <w:divBdr>
            <w:top w:val="none" w:sz="0" w:space="0" w:color="auto"/>
            <w:left w:val="none" w:sz="0" w:space="0" w:color="auto"/>
            <w:bottom w:val="none" w:sz="0" w:space="0" w:color="auto"/>
            <w:right w:val="none" w:sz="0" w:space="0" w:color="auto"/>
          </w:divBdr>
        </w:div>
      </w:divsChild>
    </w:div>
    <w:div w:id="888154884">
      <w:bodyDiv w:val="1"/>
      <w:marLeft w:val="0"/>
      <w:marRight w:val="0"/>
      <w:marTop w:val="0"/>
      <w:marBottom w:val="0"/>
      <w:divBdr>
        <w:top w:val="none" w:sz="0" w:space="0" w:color="auto"/>
        <w:left w:val="none" w:sz="0" w:space="0" w:color="auto"/>
        <w:bottom w:val="none" w:sz="0" w:space="0" w:color="auto"/>
        <w:right w:val="none" w:sz="0" w:space="0" w:color="auto"/>
      </w:divBdr>
    </w:div>
    <w:div w:id="1218980044">
      <w:bodyDiv w:val="1"/>
      <w:marLeft w:val="0"/>
      <w:marRight w:val="0"/>
      <w:marTop w:val="0"/>
      <w:marBottom w:val="0"/>
      <w:divBdr>
        <w:top w:val="none" w:sz="0" w:space="0" w:color="auto"/>
        <w:left w:val="none" w:sz="0" w:space="0" w:color="auto"/>
        <w:bottom w:val="none" w:sz="0" w:space="0" w:color="auto"/>
        <w:right w:val="none" w:sz="0" w:space="0" w:color="auto"/>
      </w:divBdr>
    </w:div>
    <w:div w:id="1469544544">
      <w:bodyDiv w:val="1"/>
      <w:marLeft w:val="0"/>
      <w:marRight w:val="0"/>
      <w:marTop w:val="0"/>
      <w:marBottom w:val="0"/>
      <w:divBdr>
        <w:top w:val="none" w:sz="0" w:space="0" w:color="auto"/>
        <w:left w:val="none" w:sz="0" w:space="0" w:color="auto"/>
        <w:bottom w:val="none" w:sz="0" w:space="0" w:color="auto"/>
        <w:right w:val="none" w:sz="0" w:space="0" w:color="auto"/>
      </w:divBdr>
      <w:divsChild>
        <w:div w:id="1053242">
          <w:marLeft w:val="850"/>
          <w:marRight w:val="0"/>
          <w:marTop w:val="160"/>
          <w:marBottom w:val="0"/>
          <w:divBdr>
            <w:top w:val="none" w:sz="0" w:space="0" w:color="auto"/>
            <w:left w:val="none" w:sz="0" w:space="0" w:color="auto"/>
            <w:bottom w:val="none" w:sz="0" w:space="0" w:color="auto"/>
            <w:right w:val="none" w:sz="0" w:space="0" w:color="auto"/>
          </w:divBdr>
        </w:div>
        <w:div w:id="342125021">
          <w:marLeft w:val="418"/>
          <w:marRight w:val="0"/>
          <w:marTop w:val="160"/>
          <w:marBottom w:val="0"/>
          <w:divBdr>
            <w:top w:val="none" w:sz="0" w:space="0" w:color="auto"/>
            <w:left w:val="none" w:sz="0" w:space="0" w:color="auto"/>
            <w:bottom w:val="none" w:sz="0" w:space="0" w:color="auto"/>
            <w:right w:val="none" w:sz="0" w:space="0" w:color="auto"/>
          </w:divBdr>
        </w:div>
      </w:divsChild>
    </w:div>
    <w:div w:id="1488130821">
      <w:bodyDiv w:val="1"/>
      <w:marLeft w:val="0"/>
      <w:marRight w:val="0"/>
      <w:marTop w:val="0"/>
      <w:marBottom w:val="0"/>
      <w:divBdr>
        <w:top w:val="none" w:sz="0" w:space="0" w:color="auto"/>
        <w:left w:val="none" w:sz="0" w:space="0" w:color="auto"/>
        <w:bottom w:val="none" w:sz="0" w:space="0" w:color="auto"/>
        <w:right w:val="none" w:sz="0" w:space="0" w:color="auto"/>
      </w:divBdr>
      <w:divsChild>
        <w:div w:id="1062023023">
          <w:marLeft w:val="850"/>
          <w:marRight w:val="0"/>
          <w:marTop w:val="40"/>
          <w:marBottom w:val="40"/>
          <w:divBdr>
            <w:top w:val="none" w:sz="0" w:space="0" w:color="auto"/>
            <w:left w:val="none" w:sz="0" w:space="0" w:color="auto"/>
            <w:bottom w:val="none" w:sz="0" w:space="0" w:color="auto"/>
            <w:right w:val="none" w:sz="0" w:space="0" w:color="auto"/>
          </w:divBdr>
        </w:div>
        <w:div w:id="1892382547">
          <w:marLeft w:val="850"/>
          <w:marRight w:val="0"/>
          <w:marTop w:val="40"/>
          <w:marBottom w:val="40"/>
          <w:divBdr>
            <w:top w:val="none" w:sz="0" w:space="0" w:color="auto"/>
            <w:left w:val="none" w:sz="0" w:space="0" w:color="auto"/>
            <w:bottom w:val="none" w:sz="0" w:space="0" w:color="auto"/>
            <w:right w:val="none" w:sz="0" w:space="0" w:color="auto"/>
          </w:divBdr>
        </w:div>
      </w:divsChild>
    </w:div>
    <w:div w:id="1523082075">
      <w:bodyDiv w:val="1"/>
      <w:marLeft w:val="0"/>
      <w:marRight w:val="0"/>
      <w:marTop w:val="0"/>
      <w:marBottom w:val="0"/>
      <w:divBdr>
        <w:top w:val="none" w:sz="0" w:space="0" w:color="auto"/>
        <w:left w:val="none" w:sz="0" w:space="0" w:color="auto"/>
        <w:bottom w:val="none" w:sz="0" w:space="0" w:color="auto"/>
        <w:right w:val="none" w:sz="0" w:space="0" w:color="auto"/>
      </w:divBdr>
      <w:divsChild>
        <w:div w:id="1460371140">
          <w:marLeft w:val="418"/>
          <w:marRight w:val="0"/>
          <w:marTop w:val="160"/>
          <w:marBottom w:val="0"/>
          <w:divBdr>
            <w:top w:val="none" w:sz="0" w:space="0" w:color="auto"/>
            <w:left w:val="none" w:sz="0" w:space="0" w:color="auto"/>
            <w:bottom w:val="none" w:sz="0" w:space="0" w:color="auto"/>
            <w:right w:val="none" w:sz="0" w:space="0" w:color="auto"/>
          </w:divBdr>
        </w:div>
      </w:divsChild>
    </w:div>
    <w:div w:id="1615868458">
      <w:bodyDiv w:val="1"/>
      <w:marLeft w:val="0"/>
      <w:marRight w:val="0"/>
      <w:marTop w:val="0"/>
      <w:marBottom w:val="0"/>
      <w:divBdr>
        <w:top w:val="none" w:sz="0" w:space="0" w:color="auto"/>
        <w:left w:val="none" w:sz="0" w:space="0" w:color="auto"/>
        <w:bottom w:val="none" w:sz="0" w:space="0" w:color="auto"/>
        <w:right w:val="none" w:sz="0" w:space="0" w:color="auto"/>
      </w:divBdr>
      <w:divsChild>
        <w:div w:id="1149789043">
          <w:marLeft w:val="418"/>
          <w:marRight w:val="0"/>
          <w:marTop w:val="160"/>
          <w:marBottom w:val="0"/>
          <w:divBdr>
            <w:top w:val="none" w:sz="0" w:space="0" w:color="auto"/>
            <w:left w:val="none" w:sz="0" w:space="0" w:color="auto"/>
            <w:bottom w:val="none" w:sz="0" w:space="0" w:color="auto"/>
            <w:right w:val="none" w:sz="0" w:space="0" w:color="auto"/>
          </w:divBdr>
        </w:div>
      </w:divsChild>
    </w:div>
    <w:div w:id="1943955282">
      <w:bodyDiv w:val="1"/>
      <w:marLeft w:val="0"/>
      <w:marRight w:val="0"/>
      <w:marTop w:val="0"/>
      <w:marBottom w:val="0"/>
      <w:divBdr>
        <w:top w:val="none" w:sz="0" w:space="0" w:color="auto"/>
        <w:left w:val="none" w:sz="0" w:space="0" w:color="auto"/>
        <w:bottom w:val="none" w:sz="0" w:space="0" w:color="auto"/>
        <w:right w:val="none" w:sz="0" w:space="0" w:color="auto"/>
      </w:divBdr>
    </w:div>
    <w:div w:id="1966692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8BE05-6779-49BD-8158-B5C493CE7BE3}">
  <ds:schemaRefs>
    <ds:schemaRef ds:uri="http://schemas.openxmlformats.org/officeDocument/2006/bibliography"/>
  </ds:schemaRefs>
</ds:datastoreItem>
</file>

<file path=customXml/itemProps2.xml><?xml version="1.0" encoding="utf-8"?>
<ds:datastoreItem xmlns:ds="http://schemas.openxmlformats.org/officeDocument/2006/customXml" ds:itemID="{D76E9122-DD46-426D-BE38-2F580205A80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A6F42F-5ADB-41BA-BBA8-EECB550A0B41}">
  <ds:schemaRefs>
    <ds:schemaRef ds:uri="http://schemas.microsoft.com/sharepoint/v3/contenttype/forms"/>
  </ds:schemaRefs>
</ds:datastoreItem>
</file>

<file path=customXml/itemProps4.xml><?xml version="1.0" encoding="utf-8"?>
<ds:datastoreItem xmlns:ds="http://schemas.openxmlformats.org/officeDocument/2006/customXml" ds:itemID="{EBD3AC7A-F93B-4ABD-B06D-A9FD7037E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16218</Words>
  <Characters>88573</Characters>
  <Application>Microsoft Office Word</Application>
  <DocSecurity>0</DocSecurity>
  <Lines>738</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104582</CharactersWithSpaces>
  <SharedDoc>false</SharedDoc>
  <HLinks>
    <vt:vector size="324" baseType="variant">
      <vt:variant>
        <vt:i4>1572921</vt:i4>
      </vt:variant>
      <vt:variant>
        <vt:i4>302</vt:i4>
      </vt:variant>
      <vt:variant>
        <vt:i4>0</vt:i4>
      </vt:variant>
      <vt:variant>
        <vt:i4>5</vt:i4>
      </vt:variant>
      <vt:variant>
        <vt:lpwstr/>
      </vt:variant>
      <vt:variant>
        <vt:lpwstr>_Toc158951524</vt:lpwstr>
      </vt:variant>
      <vt:variant>
        <vt:i4>1572921</vt:i4>
      </vt:variant>
      <vt:variant>
        <vt:i4>299</vt:i4>
      </vt:variant>
      <vt:variant>
        <vt:i4>0</vt:i4>
      </vt:variant>
      <vt:variant>
        <vt:i4>5</vt:i4>
      </vt:variant>
      <vt:variant>
        <vt:lpwstr/>
      </vt:variant>
      <vt:variant>
        <vt:lpwstr>_Toc158951523</vt:lpwstr>
      </vt:variant>
      <vt:variant>
        <vt:i4>1572921</vt:i4>
      </vt:variant>
      <vt:variant>
        <vt:i4>296</vt:i4>
      </vt:variant>
      <vt:variant>
        <vt:i4>0</vt:i4>
      </vt:variant>
      <vt:variant>
        <vt:i4>5</vt:i4>
      </vt:variant>
      <vt:variant>
        <vt:lpwstr/>
      </vt:variant>
      <vt:variant>
        <vt:lpwstr>_Toc158951522</vt:lpwstr>
      </vt:variant>
      <vt:variant>
        <vt:i4>1572921</vt:i4>
      </vt:variant>
      <vt:variant>
        <vt:i4>293</vt:i4>
      </vt:variant>
      <vt:variant>
        <vt:i4>0</vt:i4>
      </vt:variant>
      <vt:variant>
        <vt:i4>5</vt:i4>
      </vt:variant>
      <vt:variant>
        <vt:lpwstr/>
      </vt:variant>
      <vt:variant>
        <vt:lpwstr>_Toc158951521</vt:lpwstr>
      </vt:variant>
      <vt:variant>
        <vt:i4>1572921</vt:i4>
      </vt:variant>
      <vt:variant>
        <vt:i4>290</vt:i4>
      </vt:variant>
      <vt:variant>
        <vt:i4>0</vt:i4>
      </vt:variant>
      <vt:variant>
        <vt:i4>5</vt:i4>
      </vt:variant>
      <vt:variant>
        <vt:lpwstr/>
      </vt:variant>
      <vt:variant>
        <vt:lpwstr>_Toc158951520</vt:lpwstr>
      </vt:variant>
      <vt:variant>
        <vt:i4>1769529</vt:i4>
      </vt:variant>
      <vt:variant>
        <vt:i4>287</vt:i4>
      </vt:variant>
      <vt:variant>
        <vt:i4>0</vt:i4>
      </vt:variant>
      <vt:variant>
        <vt:i4>5</vt:i4>
      </vt:variant>
      <vt:variant>
        <vt:lpwstr/>
      </vt:variant>
      <vt:variant>
        <vt:lpwstr>_Toc158951519</vt:lpwstr>
      </vt:variant>
      <vt:variant>
        <vt:i4>1769529</vt:i4>
      </vt:variant>
      <vt:variant>
        <vt:i4>284</vt:i4>
      </vt:variant>
      <vt:variant>
        <vt:i4>0</vt:i4>
      </vt:variant>
      <vt:variant>
        <vt:i4>5</vt:i4>
      </vt:variant>
      <vt:variant>
        <vt:lpwstr/>
      </vt:variant>
      <vt:variant>
        <vt:lpwstr>_Toc158951518</vt:lpwstr>
      </vt:variant>
      <vt:variant>
        <vt:i4>1769529</vt:i4>
      </vt:variant>
      <vt:variant>
        <vt:i4>281</vt:i4>
      </vt:variant>
      <vt:variant>
        <vt:i4>0</vt:i4>
      </vt:variant>
      <vt:variant>
        <vt:i4>5</vt:i4>
      </vt:variant>
      <vt:variant>
        <vt:lpwstr/>
      </vt:variant>
      <vt:variant>
        <vt:lpwstr>_Toc158951517</vt:lpwstr>
      </vt:variant>
      <vt:variant>
        <vt:i4>1769529</vt:i4>
      </vt:variant>
      <vt:variant>
        <vt:i4>278</vt:i4>
      </vt:variant>
      <vt:variant>
        <vt:i4>0</vt:i4>
      </vt:variant>
      <vt:variant>
        <vt:i4>5</vt:i4>
      </vt:variant>
      <vt:variant>
        <vt:lpwstr/>
      </vt:variant>
      <vt:variant>
        <vt:lpwstr>_Toc158951516</vt:lpwstr>
      </vt:variant>
      <vt:variant>
        <vt:i4>1769529</vt:i4>
      </vt:variant>
      <vt:variant>
        <vt:i4>275</vt:i4>
      </vt:variant>
      <vt:variant>
        <vt:i4>0</vt:i4>
      </vt:variant>
      <vt:variant>
        <vt:i4>5</vt:i4>
      </vt:variant>
      <vt:variant>
        <vt:lpwstr/>
      </vt:variant>
      <vt:variant>
        <vt:lpwstr>_Toc158951515</vt:lpwstr>
      </vt:variant>
      <vt:variant>
        <vt:i4>1769529</vt:i4>
      </vt:variant>
      <vt:variant>
        <vt:i4>272</vt:i4>
      </vt:variant>
      <vt:variant>
        <vt:i4>0</vt:i4>
      </vt:variant>
      <vt:variant>
        <vt:i4>5</vt:i4>
      </vt:variant>
      <vt:variant>
        <vt:lpwstr/>
      </vt:variant>
      <vt:variant>
        <vt:lpwstr>_Toc158951514</vt:lpwstr>
      </vt:variant>
      <vt:variant>
        <vt:i4>1769529</vt:i4>
      </vt:variant>
      <vt:variant>
        <vt:i4>269</vt:i4>
      </vt:variant>
      <vt:variant>
        <vt:i4>0</vt:i4>
      </vt:variant>
      <vt:variant>
        <vt:i4>5</vt:i4>
      </vt:variant>
      <vt:variant>
        <vt:lpwstr/>
      </vt:variant>
      <vt:variant>
        <vt:lpwstr>_Toc158951513</vt:lpwstr>
      </vt:variant>
      <vt:variant>
        <vt:i4>1769529</vt:i4>
      </vt:variant>
      <vt:variant>
        <vt:i4>266</vt:i4>
      </vt:variant>
      <vt:variant>
        <vt:i4>0</vt:i4>
      </vt:variant>
      <vt:variant>
        <vt:i4>5</vt:i4>
      </vt:variant>
      <vt:variant>
        <vt:lpwstr/>
      </vt:variant>
      <vt:variant>
        <vt:lpwstr>_Toc158951512</vt:lpwstr>
      </vt:variant>
      <vt:variant>
        <vt:i4>1769529</vt:i4>
      </vt:variant>
      <vt:variant>
        <vt:i4>263</vt:i4>
      </vt:variant>
      <vt:variant>
        <vt:i4>0</vt:i4>
      </vt:variant>
      <vt:variant>
        <vt:i4>5</vt:i4>
      </vt:variant>
      <vt:variant>
        <vt:lpwstr/>
      </vt:variant>
      <vt:variant>
        <vt:lpwstr>_Toc158951511</vt:lpwstr>
      </vt:variant>
      <vt:variant>
        <vt:i4>1769529</vt:i4>
      </vt:variant>
      <vt:variant>
        <vt:i4>260</vt:i4>
      </vt:variant>
      <vt:variant>
        <vt:i4>0</vt:i4>
      </vt:variant>
      <vt:variant>
        <vt:i4>5</vt:i4>
      </vt:variant>
      <vt:variant>
        <vt:lpwstr/>
      </vt:variant>
      <vt:variant>
        <vt:lpwstr>_Toc158951510</vt:lpwstr>
      </vt:variant>
      <vt:variant>
        <vt:i4>1703993</vt:i4>
      </vt:variant>
      <vt:variant>
        <vt:i4>257</vt:i4>
      </vt:variant>
      <vt:variant>
        <vt:i4>0</vt:i4>
      </vt:variant>
      <vt:variant>
        <vt:i4>5</vt:i4>
      </vt:variant>
      <vt:variant>
        <vt:lpwstr/>
      </vt:variant>
      <vt:variant>
        <vt:lpwstr>_Toc158951509</vt:lpwstr>
      </vt:variant>
      <vt:variant>
        <vt:i4>1703993</vt:i4>
      </vt:variant>
      <vt:variant>
        <vt:i4>254</vt:i4>
      </vt:variant>
      <vt:variant>
        <vt:i4>0</vt:i4>
      </vt:variant>
      <vt:variant>
        <vt:i4>5</vt:i4>
      </vt:variant>
      <vt:variant>
        <vt:lpwstr/>
      </vt:variant>
      <vt:variant>
        <vt:lpwstr>_Toc158951508</vt:lpwstr>
      </vt:variant>
      <vt:variant>
        <vt:i4>1703993</vt:i4>
      </vt:variant>
      <vt:variant>
        <vt:i4>251</vt:i4>
      </vt:variant>
      <vt:variant>
        <vt:i4>0</vt:i4>
      </vt:variant>
      <vt:variant>
        <vt:i4>5</vt:i4>
      </vt:variant>
      <vt:variant>
        <vt:lpwstr/>
      </vt:variant>
      <vt:variant>
        <vt:lpwstr>_Toc158951507</vt:lpwstr>
      </vt:variant>
      <vt:variant>
        <vt:i4>1703993</vt:i4>
      </vt:variant>
      <vt:variant>
        <vt:i4>248</vt:i4>
      </vt:variant>
      <vt:variant>
        <vt:i4>0</vt:i4>
      </vt:variant>
      <vt:variant>
        <vt:i4>5</vt:i4>
      </vt:variant>
      <vt:variant>
        <vt:lpwstr/>
      </vt:variant>
      <vt:variant>
        <vt:lpwstr>_Toc158951506</vt:lpwstr>
      </vt:variant>
      <vt:variant>
        <vt:i4>1703993</vt:i4>
      </vt:variant>
      <vt:variant>
        <vt:i4>245</vt:i4>
      </vt:variant>
      <vt:variant>
        <vt:i4>0</vt:i4>
      </vt:variant>
      <vt:variant>
        <vt:i4>5</vt:i4>
      </vt:variant>
      <vt:variant>
        <vt:lpwstr/>
      </vt:variant>
      <vt:variant>
        <vt:lpwstr>_Toc158951505</vt:lpwstr>
      </vt:variant>
      <vt:variant>
        <vt:i4>1703993</vt:i4>
      </vt:variant>
      <vt:variant>
        <vt:i4>242</vt:i4>
      </vt:variant>
      <vt:variant>
        <vt:i4>0</vt:i4>
      </vt:variant>
      <vt:variant>
        <vt:i4>5</vt:i4>
      </vt:variant>
      <vt:variant>
        <vt:lpwstr/>
      </vt:variant>
      <vt:variant>
        <vt:lpwstr>_Toc158951504</vt:lpwstr>
      </vt:variant>
      <vt:variant>
        <vt:i4>1703993</vt:i4>
      </vt:variant>
      <vt:variant>
        <vt:i4>239</vt:i4>
      </vt:variant>
      <vt:variant>
        <vt:i4>0</vt:i4>
      </vt:variant>
      <vt:variant>
        <vt:i4>5</vt:i4>
      </vt:variant>
      <vt:variant>
        <vt:lpwstr/>
      </vt:variant>
      <vt:variant>
        <vt:lpwstr>_Toc158951503</vt:lpwstr>
      </vt:variant>
      <vt:variant>
        <vt:i4>1703993</vt:i4>
      </vt:variant>
      <vt:variant>
        <vt:i4>236</vt:i4>
      </vt:variant>
      <vt:variant>
        <vt:i4>0</vt:i4>
      </vt:variant>
      <vt:variant>
        <vt:i4>5</vt:i4>
      </vt:variant>
      <vt:variant>
        <vt:lpwstr/>
      </vt:variant>
      <vt:variant>
        <vt:lpwstr>_Toc158951502</vt:lpwstr>
      </vt:variant>
      <vt:variant>
        <vt:i4>1703993</vt:i4>
      </vt:variant>
      <vt:variant>
        <vt:i4>233</vt:i4>
      </vt:variant>
      <vt:variant>
        <vt:i4>0</vt:i4>
      </vt:variant>
      <vt:variant>
        <vt:i4>5</vt:i4>
      </vt:variant>
      <vt:variant>
        <vt:lpwstr/>
      </vt:variant>
      <vt:variant>
        <vt:lpwstr>_Toc158951501</vt:lpwstr>
      </vt:variant>
      <vt:variant>
        <vt:i4>1703993</vt:i4>
      </vt:variant>
      <vt:variant>
        <vt:i4>230</vt:i4>
      </vt:variant>
      <vt:variant>
        <vt:i4>0</vt:i4>
      </vt:variant>
      <vt:variant>
        <vt:i4>5</vt:i4>
      </vt:variant>
      <vt:variant>
        <vt:lpwstr/>
      </vt:variant>
      <vt:variant>
        <vt:lpwstr>_Toc158951500</vt:lpwstr>
      </vt:variant>
      <vt:variant>
        <vt:i4>1245240</vt:i4>
      </vt:variant>
      <vt:variant>
        <vt:i4>227</vt:i4>
      </vt:variant>
      <vt:variant>
        <vt:i4>0</vt:i4>
      </vt:variant>
      <vt:variant>
        <vt:i4>5</vt:i4>
      </vt:variant>
      <vt:variant>
        <vt:lpwstr/>
      </vt:variant>
      <vt:variant>
        <vt:lpwstr>_Toc158951499</vt:lpwstr>
      </vt:variant>
      <vt:variant>
        <vt:i4>1245240</vt:i4>
      </vt:variant>
      <vt:variant>
        <vt:i4>224</vt:i4>
      </vt:variant>
      <vt:variant>
        <vt:i4>0</vt:i4>
      </vt:variant>
      <vt:variant>
        <vt:i4>5</vt:i4>
      </vt:variant>
      <vt:variant>
        <vt:lpwstr/>
      </vt:variant>
      <vt:variant>
        <vt:lpwstr>_Toc158951498</vt:lpwstr>
      </vt:variant>
      <vt:variant>
        <vt:i4>1245240</vt:i4>
      </vt:variant>
      <vt:variant>
        <vt:i4>221</vt:i4>
      </vt:variant>
      <vt:variant>
        <vt:i4>0</vt:i4>
      </vt:variant>
      <vt:variant>
        <vt:i4>5</vt:i4>
      </vt:variant>
      <vt:variant>
        <vt:lpwstr/>
      </vt:variant>
      <vt:variant>
        <vt:lpwstr>_Toc158951497</vt:lpwstr>
      </vt:variant>
      <vt:variant>
        <vt:i4>1245240</vt:i4>
      </vt:variant>
      <vt:variant>
        <vt:i4>215</vt:i4>
      </vt:variant>
      <vt:variant>
        <vt:i4>0</vt:i4>
      </vt:variant>
      <vt:variant>
        <vt:i4>5</vt:i4>
      </vt:variant>
      <vt:variant>
        <vt:lpwstr/>
      </vt:variant>
      <vt:variant>
        <vt:lpwstr>_Toc158951496</vt:lpwstr>
      </vt:variant>
      <vt:variant>
        <vt:i4>1245240</vt:i4>
      </vt:variant>
      <vt:variant>
        <vt:i4>212</vt:i4>
      </vt:variant>
      <vt:variant>
        <vt:i4>0</vt:i4>
      </vt:variant>
      <vt:variant>
        <vt:i4>5</vt:i4>
      </vt:variant>
      <vt:variant>
        <vt:lpwstr/>
      </vt:variant>
      <vt:variant>
        <vt:lpwstr>_Toc158951495</vt:lpwstr>
      </vt:variant>
      <vt:variant>
        <vt:i4>1245240</vt:i4>
      </vt:variant>
      <vt:variant>
        <vt:i4>209</vt:i4>
      </vt:variant>
      <vt:variant>
        <vt:i4>0</vt:i4>
      </vt:variant>
      <vt:variant>
        <vt:i4>5</vt:i4>
      </vt:variant>
      <vt:variant>
        <vt:lpwstr/>
      </vt:variant>
      <vt:variant>
        <vt:lpwstr>_Toc158951494</vt:lpwstr>
      </vt:variant>
      <vt:variant>
        <vt:i4>1245240</vt:i4>
      </vt:variant>
      <vt:variant>
        <vt:i4>206</vt:i4>
      </vt:variant>
      <vt:variant>
        <vt:i4>0</vt:i4>
      </vt:variant>
      <vt:variant>
        <vt:i4>5</vt:i4>
      </vt:variant>
      <vt:variant>
        <vt:lpwstr/>
      </vt:variant>
      <vt:variant>
        <vt:lpwstr>_Toc158951493</vt:lpwstr>
      </vt:variant>
      <vt:variant>
        <vt:i4>1245240</vt:i4>
      </vt:variant>
      <vt:variant>
        <vt:i4>203</vt:i4>
      </vt:variant>
      <vt:variant>
        <vt:i4>0</vt:i4>
      </vt:variant>
      <vt:variant>
        <vt:i4>5</vt:i4>
      </vt:variant>
      <vt:variant>
        <vt:lpwstr/>
      </vt:variant>
      <vt:variant>
        <vt:lpwstr>_Toc158951492</vt:lpwstr>
      </vt:variant>
      <vt:variant>
        <vt:i4>1245240</vt:i4>
      </vt:variant>
      <vt:variant>
        <vt:i4>200</vt:i4>
      </vt:variant>
      <vt:variant>
        <vt:i4>0</vt:i4>
      </vt:variant>
      <vt:variant>
        <vt:i4>5</vt:i4>
      </vt:variant>
      <vt:variant>
        <vt:lpwstr/>
      </vt:variant>
      <vt:variant>
        <vt:lpwstr>_Toc158951491</vt:lpwstr>
      </vt:variant>
      <vt:variant>
        <vt:i4>1245240</vt:i4>
      </vt:variant>
      <vt:variant>
        <vt:i4>197</vt:i4>
      </vt:variant>
      <vt:variant>
        <vt:i4>0</vt:i4>
      </vt:variant>
      <vt:variant>
        <vt:i4>5</vt:i4>
      </vt:variant>
      <vt:variant>
        <vt:lpwstr/>
      </vt:variant>
      <vt:variant>
        <vt:lpwstr>_Toc158951490</vt:lpwstr>
      </vt:variant>
      <vt:variant>
        <vt:i4>1179704</vt:i4>
      </vt:variant>
      <vt:variant>
        <vt:i4>194</vt:i4>
      </vt:variant>
      <vt:variant>
        <vt:i4>0</vt:i4>
      </vt:variant>
      <vt:variant>
        <vt:i4>5</vt:i4>
      </vt:variant>
      <vt:variant>
        <vt:lpwstr/>
      </vt:variant>
      <vt:variant>
        <vt:lpwstr>_Toc158951489</vt:lpwstr>
      </vt:variant>
      <vt:variant>
        <vt:i4>1179704</vt:i4>
      </vt:variant>
      <vt:variant>
        <vt:i4>191</vt:i4>
      </vt:variant>
      <vt:variant>
        <vt:i4>0</vt:i4>
      </vt:variant>
      <vt:variant>
        <vt:i4>5</vt:i4>
      </vt:variant>
      <vt:variant>
        <vt:lpwstr/>
      </vt:variant>
      <vt:variant>
        <vt:lpwstr>_Toc158951488</vt:lpwstr>
      </vt:variant>
      <vt:variant>
        <vt:i4>1179704</vt:i4>
      </vt:variant>
      <vt:variant>
        <vt:i4>188</vt:i4>
      </vt:variant>
      <vt:variant>
        <vt:i4>0</vt:i4>
      </vt:variant>
      <vt:variant>
        <vt:i4>5</vt:i4>
      </vt:variant>
      <vt:variant>
        <vt:lpwstr/>
      </vt:variant>
      <vt:variant>
        <vt:lpwstr>_Toc158951487</vt:lpwstr>
      </vt:variant>
      <vt:variant>
        <vt:i4>1179704</vt:i4>
      </vt:variant>
      <vt:variant>
        <vt:i4>185</vt:i4>
      </vt:variant>
      <vt:variant>
        <vt:i4>0</vt:i4>
      </vt:variant>
      <vt:variant>
        <vt:i4>5</vt:i4>
      </vt:variant>
      <vt:variant>
        <vt:lpwstr/>
      </vt:variant>
      <vt:variant>
        <vt:lpwstr>_Toc158951486</vt:lpwstr>
      </vt:variant>
      <vt:variant>
        <vt:i4>1179704</vt:i4>
      </vt:variant>
      <vt:variant>
        <vt:i4>182</vt:i4>
      </vt:variant>
      <vt:variant>
        <vt:i4>0</vt:i4>
      </vt:variant>
      <vt:variant>
        <vt:i4>5</vt:i4>
      </vt:variant>
      <vt:variant>
        <vt:lpwstr/>
      </vt:variant>
      <vt:variant>
        <vt:lpwstr>_Toc158951485</vt:lpwstr>
      </vt:variant>
      <vt:variant>
        <vt:i4>1179704</vt:i4>
      </vt:variant>
      <vt:variant>
        <vt:i4>179</vt:i4>
      </vt:variant>
      <vt:variant>
        <vt:i4>0</vt:i4>
      </vt:variant>
      <vt:variant>
        <vt:i4>5</vt:i4>
      </vt:variant>
      <vt:variant>
        <vt:lpwstr/>
      </vt:variant>
      <vt:variant>
        <vt:lpwstr>_Toc158951484</vt:lpwstr>
      </vt:variant>
      <vt:variant>
        <vt:i4>1179704</vt:i4>
      </vt:variant>
      <vt:variant>
        <vt:i4>176</vt:i4>
      </vt:variant>
      <vt:variant>
        <vt:i4>0</vt:i4>
      </vt:variant>
      <vt:variant>
        <vt:i4>5</vt:i4>
      </vt:variant>
      <vt:variant>
        <vt:lpwstr/>
      </vt:variant>
      <vt:variant>
        <vt:lpwstr>_Toc158951483</vt:lpwstr>
      </vt:variant>
      <vt:variant>
        <vt:i4>1179704</vt:i4>
      </vt:variant>
      <vt:variant>
        <vt:i4>173</vt:i4>
      </vt:variant>
      <vt:variant>
        <vt:i4>0</vt:i4>
      </vt:variant>
      <vt:variant>
        <vt:i4>5</vt:i4>
      </vt:variant>
      <vt:variant>
        <vt:lpwstr/>
      </vt:variant>
      <vt:variant>
        <vt:lpwstr>_Toc158951482</vt:lpwstr>
      </vt:variant>
      <vt:variant>
        <vt:i4>1179704</vt:i4>
      </vt:variant>
      <vt:variant>
        <vt:i4>170</vt:i4>
      </vt:variant>
      <vt:variant>
        <vt:i4>0</vt:i4>
      </vt:variant>
      <vt:variant>
        <vt:i4>5</vt:i4>
      </vt:variant>
      <vt:variant>
        <vt:lpwstr/>
      </vt:variant>
      <vt:variant>
        <vt:lpwstr>_Toc158951481</vt:lpwstr>
      </vt:variant>
      <vt:variant>
        <vt:i4>1179704</vt:i4>
      </vt:variant>
      <vt:variant>
        <vt:i4>167</vt:i4>
      </vt:variant>
      <vt:variant>
        <vt:i4>0</vt:i4>
      </vt:variant>
      <vt:variant>
        <vt:i4>5</vt:i4>
      </vt:variant>
      <vt:variant>
        <vt:lpwstr/>
      </vt:variant>
      <vt:variant>
        <vt:lpwstr>_Toc158951480</vt:lpwstr>
      </vt:variant>
      <vt:variant>
        <vt:i4>1900600</vt:i4>
      </vt:variant>
      <vt:variant>
        <vt:i4>164</vt:i4>
      </vt:variant>
      <vt:variant>
        <vt:i4>0</vt:i4>
      </vt:variant>
      <vt:variant>
        <vt:i4>5</vt:i4>
      </vt:variant>
      <vt:variant>
        <vt:lpwstr/>
      </vt:variant>
      <vt:variant>
        <vt:lpwstr>_Toc158951479</vt:lpwstr>
      </vt:variant>
      <vt:variant>
        <vt:i4>1900600</vt:i4>
      </vt:variant>
      <vt:variant>
        <vt:i4>161</vt:i4>
      </vt:variant>
      <vt:variant>
        <vt:i4>0</vt:i4>
      </vt:variant>
      <vt:variant>
        <vt:i4>5</vt:i4>
      </vt:variant>
      <vt:variant>
        <vt:lpwstr/>
      </vt:variant>
      <vt:variant>
        <vt:lpwstr>_Toc158951478</vt:lpwstr>
      </vt:variant>
      <vt:variant>
        <vt:i4>1572977</vt:i4>
      </vt:variant>
      <vt:variant>
        <vt:i4>18</vt:i4>
      </vt:variant>
      <vt:variant>
        <vt:i4>0</vt:i4>
      </vt:variant>
      <vt:variant>
        <vt:i4>5</vt:i4>
      </vt:variant>
      <vt:variant>
        <vt:lpwstr>mailto:yuhang.liu@ericsson.com</vt:lpwstr>
      </vt:variant>
      <vt:variant>
        <vt:lpwstr/>
      </vt:variant>
      <vt:variant>
        <vt:i4>7471116</vt:i4>
      </vt:variant>
      <vt:variant>
        <vt:i4>15</vt:i4>
      </vt:variant>
      <vt:variant>
        <vt:i4>0</vt:i4>
      </vt:variant>
      <vt:variant>
        <vt:i4>5</vt:i4>
      </vt:variant>
      <vt:variant>
        <vt:lpwstr>mailto:thomas.cheng@ericsson.com</vt:lpwstr>
      </vt:variant>
      <vt:variant>
        <vt:lpwstr/>
      </vt:variant>
      <vt:variant>
        <vt:i4>3997786</vt:i4>
      </vt:variant>
      <vt:variant>
        <vt:i4>12</vt:i4>
      </vt:variant>
      <vt:variant>
        <vt:i4>0</vt:i4>
      </vt:variant>
      <vt:variant>
        <vt:i4>5</vt:i4>
      </vt:variant>
      <vt:variant>
        <vt:lpwstr>mailto:lorenza.giupponi@ericsson.com</vt:lpwstr>
      </vt:variant>
      <vt:variant>
        <vt:lpwstr/>
      </vt:variant>
      <vt:variant>
        <vt:i4>1572977</vt:i4>
      </vt:variant>
      <vt:variant>
        <vt:i4>9</vt:i4>
      </vt:variant>
      <vt:variant>
        <vt:i4>0</vt:i4>
      </vt:variant>
      <vt:variant>
        <vt:i4>5</vt:i4>
      </vt:variant>
      <vt:variant>
        <vt:lpwstr>mailto:yuhang.liu@ericsson.com</vt:lpwstr>
      </vt:variant>
      <vt:variant>
        <vt:lpwstr/>
      </vt:variant>
      <vt:variant>
        <vt:i4>1572977</vt:i4>
      </vt:variant>
      <vt:variant>
        <vt:i4>6</vt:i4>
      </vt:variant>
      <vt:variant>
        <vt:i4>0</vt:i4>
      </vt:variant>
      <vt:variant>
        <vt:i4>5</vt:i4>
      </vt:variant>
      <vt:variant>
        <vt:lpwstr>mailto:yuhang.liu@ericsson.com</vt:lpwstr>
      </vt:variant>
      <vt:variant>
        <vt:lpwstr/>
      </vt:variant>
      <vt:variant>
        <vt:i4>2097234</vt:i4>
      </vt:variant>
      <vt:variant>
        <vt:i4>3</vt:i4>
      </vt:variant>
      <vt:variant>
        <vt:i4>0</vt:i4>
      </vt:variant>
      <vt:variant>
        <vt:i4>5</vt:i4>
      </vt:variant>
      <vt:variant>
        <vt:lpwstr>mailto:peter.alriksson@ericsson.com</vt:lpwstr>
      </vt:variant>
      <vt:variant>
        <vt:lpwstr/>
      </vt:variant>
      <vt:variant>
        <vt:i4>2097234</vt:i4>
      </vt:variant>
      <vt:variant>
        <vt:i4>0</vt:i4>
      </vt:variant>
      <vt:variant>
        <vt:i4>0</vt:i4>
      </vt:variant>
      <vt:variant>
        <vt:i4>5</vt:i4>
      </vt:variant>
      <vt:variant>
        <vt:lpwstr>mailto:peter.alriksson@ericsson.com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2024-02-19T12:31:00Z</dcterms:created>
  <dcterms:modified xsi:type="dcterms:W3CDTF">2024-02-19T13:14:00Z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